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C5" w:rsidRDefault="00AB75C5" w:rsidP="00A17039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AB75C5" w:rsidRDefault="00AB75C5" w:rsidP="00A17039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AB75C5" w:rsidRDefault="00AB75C5" w:rsidP="00A17039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F37F7B" w:rsidRPr="006C2349" w:rsidRDefault="00F37F7B" w:rsidP="00F37F7B">
      <w:pPr>
        <w:pStyle w:val="Sinespaciado"/>
        <w:jc w:val="right"/>
        <w:rPr>
          <w:b/>
          <w:bCs/>
          <w:lang w:val="es-EC"/>
        </w:rPr>
      </w:pPr>
      <w:r w:rsidRPr="006C2349">
        <w:rPr>
          <w:b/>
          <w:bCs/>
          <w:lang w:val="es-EC"/>
        </w:rPr>
        <w:t xml:space="preserve">      Memorando nro.: ULEAM-DATH-20</w:t>
      </w:r>
      <w:r w:rsidRPr="006C2349">
        <w:rPr>
          <w:b/>
          <w:bCs/>
          <w:color w:val="808080" w:themeColor="background1" w:themeShade="80"/>
          <w:lang w:val="es-EC"/>
        </w:rPr>
        <w:t>XX</w:t>
      </w:r>
      <w:r w:rsidRPr="006C2349">
        <w:rPr>
          <w:b/>
          <w:bCs/>
          <w:lang w:val="es-EC"/>
        </w:rPr>
        <w:t>-</w:t>
      </w:r>
      <w:r w:rsidRPr="006C2349">
        <w:rPr>
          <w:b/>
          <w:bCs/>
          <w:color w:val="808080" w:themeColor="background1" w:themeShade="80"/>
          <w:lang w:val="es-EC"/>
        </w:rPr>
        <w:t>XXX</w:t>
      </w:r>
      <w:r w:rsidRPr="006C2349">
        <w:rPr>
          <w:b/>
          <w:bCs/>
          <w:lang w:val="es-EC"/>
        </w:rPr>
        <w:t>-M</w:t>
      </w:r>
    </w:p>
    <w:p w:rsidR="00F37F7B" w:rsidRPr="006C2349" w:rsidRDefault="00F37F7B" w:rsidP="00F37F7B">
      <w:pPr>
        <w:tabs>
          <w:tab w:val="left" w:pos="1395"/>
          <w:tab w:val="center" w:pos="4252"/>
        </w:tabs>
        <w:jc w:val="right"/>
        <w:rPr>
          <w:rFonts w:ascii="Times New Roman" w:eastAsia="Arial" w:hAnsi="Times New Roman" w:cs="Times New Roman"/>
          <w:color w:val="808080" w:themeColor="background1" w:themeShade="80"/>
          <w:sz w:val="24"/>
          <w:szCs w:val="24"/>
        </w:rPr>
      </w:pPr>
      <w:r w:rsidRPr="006C2349">
        <w:rPr>
          <w:rFonts w:ascii="Times New Roman" w:eastAsia="Arial" w:hAnsi="Times New Roman" w:cs="Times New Roman"/>
          <w:sz w:val="24"/>
          <w:szCs w:val="24"/>
        </w:rPr>
        <w:t xml:space="preserve">Manta, </w:t>
      </w:r>
      <w:r w:rsidRPr="006C2349">
        <w:rPr>
          <w:rFonts w:ascii="Times New Roman" w:eastAsia="Arial" w:hAnsi="Times New Roman" w:cs="Times New Roman"/>
          <w:color w:val="808080" w:themeColor="background1" w:themeShade="80"/>
          <w:sz w:val="24"/>
          <w:szCs w:val="24"/>
        </w:rPr>
        <w:t>04 de agosto de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081"/>
      </w:tblGrid>
      <w:tr w:rsidR="00F37F7B" w:rsidRPr="006C2349" w:rsidTr="00E30C5C">
        <w:tc>
          <w:tcPr>
            <w:tcW w:w="1413" w:type="dxa"/>
            <w:hideMark/>
          </w:tcPr>
          <w:p w:rsidR="00F37F7B" w:rsidRPr="006C2349" w:rsidRDefault="00F37F7B" w:rsidP="00E30C5C">
            <w:pPr>
              <w:pStyle w:val="Sinespaciado"/>
              <w:rPr>
                <w:rFonts w:eastAsia="Arial"/>
                <w:b/>
              </w:rPr>
            </w:pPr>
            <w:r w:rsidRPr="006C2349">
              <w:rPr>
                <w:rFonts w:eastAsia="Arial"/>
                <w:b/>
              </w:rPr>
              <w:t xml:space="preserve">PARA:       </w:t>
            </w:r>
          </w:p>
        </w:tc>
        <w:tc>
          <w:tcPr>
            <w:tcW w:w="7081" w:type="dxa"/>
            <w:hideMark/>
          </w:tcPr>
          <w:p w:rsidR="00F37F7B" w:rsidRPr="006C2349" w:rsidRDefault="00F37F7B" w:rsidP="00E30C5C">
            <w:pPr>
              <w:pStyle w:val="Sinespaciado"/>
              <w:jc w:val="both"/>
            </w:pPr>
            <w:r w:rsidRPr="006C2349">
              <w:t>Nombre de autoridad nominadora</w:t>
            </w:r>
          </w:p>
          <w:p w:rsidR="00F37F7B" w:rsidRPr="006C2349" w:rsidRDefault="00F37F7B" w:rsidP="00E30C5C">
            <w:pPr>
              <w:pStyle w:val="Sinespaciado"/>
              <w:jc w:val="both"/>
            </w:pPr>
            <w:r w:rsidRPr="006C2349">
              <w:t>Rector (a) Universidad Laica Eloy Alfaro de Manabí</w:t>
            </w:r>
          </w:p>
        </w:tc>
      </w:tr>
      <w:tr w:rsidR="00F37F7B" w:rsidRPr="006C2349" w:rsidTr="00E30C5C">
        <w:tc>
          <w:tcPr>
            <w:tcW w:w="1413" w:type="dxa"/>
            <w:tcBorders>
              <w:bottom w:val="single" w:sz="4" w:space="0" w:color="auto"/>
            </w:tcBorders>
            <w:hideMark/>
          </w:tcPr>
          <w:p w:rsidR="00F37F7B" w:rsidRPr="006C2349" w:rsidRDefault="00F37F7B" w:rsidP="00E30C5C">
            <w:pPr>
              <w:pStyle w:val="Sinespaciado"/>
              <w:rPr>
                <w:rFonts w:eastAsia="Arial"/>
                <w:b/>
              </w:rPr>
            </w:pPr>
            <w:r w:rsidRPr="006C2349">
              <w:rPr>
                <w:rFonts w:eastAsia="Arial"/>
                <w:b/>
              </w:rPr>
              <w:t xml:space="preserve">ASUNTO:  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hideMark/>
          </w:tcPr>
          <w:p w:rsidR="00F37F7B" w:rsidRPr="006C2349" w:rsidRDefault="00F37F7B" w:rsidP="00E30C5C">
            <w:pPr>
              <w:pStyle w:val="Sinespaciado"/>
              <w:jc w:val="both"/>
              <w:rPr>
                <w:rFonts w:eastAsia="Arial"/>
              </w:rPr>
            </w:pPr>
            <w:r w:rsidRPr="006C2349">
              <w:rPr>
                <w:rFonts w:eastAsia="Arial"/>
              </w:rPr>
              <w:t>Plan Anual del Desempeño para el personal administrativo Uleam</w:t>
            </w:r>
          </w:p>
        </w:tc>
      </w:tr>
    </w:tbl>
    <w:p w:rsidR="00F37F7B" w:rsidRPr="006C2349" w:rsidRDefault="00F37F7B" w:rsidP="00CC0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41B" w:rsidRPr="006C2349" w:rsidRDefault="00F9441B" w:rsidP="007550F3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2349">
        <w:rPr>
          <w:rFonts w:ascii="Times New Roman" w:hAnsi="Times New Roman" w:cs="Times New Roman"/>
          <w:sz w:val="24"/>
          <w:szCs w:val="24"/>
        </w:rPr>
        <w:t xml:space="preserve">Por el presente expreso saludos cordiales, a la vez me </w:t>
      </w:r>
      <w:r w:rsidR="007550F3" w:rsidRPr="006C2349">
        <w:rPr>
          <w:rFonts w:ascii="Times New Roman" w:hAnsi="Times New Roman" w:cs="Times New Roman"/>
          <w:sz w:val="24"/>
          <w:szCs w:val="24"/>
        </w:rPr>
        <w:t xml:space="preserve">permito presentar ante usted el Plan Anual del Desempeño para el personal administrativo de la universidad acorde a </w:t>
      </w:r>
      <w:r w:rsidR="00F37F7B" w:rsidRPr="006C2349">
        <w:rPr>
          <w:rFonts w:ascii="Times New Roman" w:hAnsi="Times New Roman" w:cs="Times New Roman"/>
          <w:sz w:val="24"/>
          <w:szCs w:val="24"/>
        </w:rPr>
        <w:t xml:space="preserve">lo establecido en la Ley Orgánica del Servicio </w:t>
      </w:r>
      <w:r w:rsidR="007550F3" w:rsidRPr="006C2349">
        <w:rPr>
          <w:rFonts w:ascii="Times New Roman" w:hAnsi="Times New Roman" w:cs="Times New Roman"/>
          <w:sz w:val="24"/>
          <w:szCs w:val="24"/>
        </w:rPr>
        <w:t>Público</w:t>
      </w:r>
      <w:r w:rsidR="00E46FB3" w:rsidRPr="006C2349">
        <w:rPr>
          <w:rFonts w:ascii="Times New Roman" w:hAnsi="Times New Roman" w:cs="Times New Roman"/>
          <w:sz w:val="24"/>
          <w:szCs w:val="24"/>
        </w:rPr>
        <w:t xml:space="preserve">, </w:t>
      </w:r>
      <w:r w:rsidR="007550F3" w:rsidRPr="006C2349">
        <w:rPr>
          <w:rFonts w:ascii="Times New Roman" w:hAnsi="Times New Roman" w:cs="Times New Roman"/>
          <w:sz w:val="24"/>
          <w:szCs w:val="24"/>
        </w:rPr>
        <w:t xml:space="preserve">por lo que </w:t>
      </w:r>
      <w:r w:rsidR="00E46FB3" w:rsidRPr="006C2349">
        <w:rPr>
          <w:rFonts w:ascii="Times New Roman" w:hAnsi="Times New Roman" w:cs="Times New Roman"/>
          <w:sz w:val="24"/>
          <w:szCs w:val="24"/>
        </w:rPr>
        <w:t>remito lo siguiente:</w:t>
      </w:r>
    </w:p>
    <w:p w:rsidR="00F37F7B" w:rsidRPr="006C2349" w:rsidRDefault="00F37F7B" w:rsidP="00F37F7B">
      <w:pPr>
        <w:pStyle w:val="Prrafodelista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64B5D" w:rsidRPr="006C2349" w:rsidRDefault="00502DC3" w:rsidP="006C2349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349">
        <w:rPr>
          <w:rFonts w:ascii="Times New Roman" w:hAnsi="Times New Roman" w:cs="Times New Roman"/>
          <w:b/>
          <w:sz w:val="24"/>
          <w:szCs w:val="24"/>
        </w:rPr>
        <w:t xml:space="preserve">Normativa </w:t>
      </w:r>
      <w:r w:rsidR="00393EE7" w:rsidRPr="006C2349">
        <w:rPr>
          <w:rFonts w:ascii="Times New Roman" w:hAnsi="Times New Roman" w:cs="Times New Roman"/>
          <w:b/>
          <w:sz w:val="24"/>
          <w:szCs w:val="24"/>
        </w:rPr>
        <w:t>aplicable (</w:t>
      </w:r>
      <w:r w:rsidRPr="006C2349">
        <w:rPr>
          <w:rFonts w:ascii="Times New Roman" w:hAnsi="Times New Roman" w:cs="Times New Roman"/>
          <w:b/>
          <w:sz w:val="24"/>
          <w:szCs w:val="24"/>
        </w:rPr>
        <w:t>Reformada</w:t>
      </w:r>
      <w:r w:rsidR="00393EE7" w:rsidRPr="006C2349">
        <w:rPr>
          <w:rFonts w:ascii="Times New Roman" w:hAnsi="Times New Roman" w:cs="Times New Roman"/>
          <w:b/>
          <w:sz w:val="24"/>
          <w:szCs w:val="24"/>
        </w:rPr>
        <w:t>)</w:t>
      </w:r>
    </w:p>
    <w:p w:rsidR="006C2349" w:rsidRPr="006C2349" w:rsidRDefault="006C2349" w:rsidP="006C2349">
      <w:pPr>
        <w:jc w:val="both"/>
        <w:rPr>
          <w:rFonts w:ascii="Times New Roman" w:hAnsi="Times New Roman" w:cs="Times New Roman"/>
          <w:sz w:val="24"/>
          <w:szCs w:val="24"/>
        </w:rPr>
      </w:pPr>
      <w:r w:rsidRPr="006C2349">
        <w:rPr>
          <w:rFonts w:ascii="Times New Roman" w:hAnsi="Times New Roman" w:cs="Times New Roman"/>
          <w:sz w:val="24"/>
          <w:szCs w:val="24"/>
        </w:rPr>
        <w:t>El artículo 54 de la Ley Orgánica del Servicio Público - LOSEP, establece que el Sistema Integrado de Desarrollo del Talento Humano del Servicio Público está conformado, entre otros, por el Subsistema de Evaluación del Desempeño;</w:t>
      </w:r>
    </w:p>
    <w:p w:rsidR="006C2349" w:rsidRPr="005F09E1" w:rsidRDefault="006C2349" w:rsidP="006C2349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F09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El artículo 76 de la Ley Orgánica del Servicio Público - LOSEP, prescribe que el subsistema de evaluación del desempeño es el conjunto de normas, técnicas, métodos, protocolos y procedimientos armonizados, justos, transparentes, imparciales y libres de arbitrariedad que sistémicamente se orienten a evaluar bajo parámetros objetivos acordes con las funciones, responsabilidades y perfiles del puesto; y, que la evaluación se fundamentará en indicadores cuantitativos y cualitativos de gestión, encaminados a impulsar la consecución de los fines y propósitos institucionales, el desarrollo de los servidores públicos y el mejoramiento continuo de la calidad del servicio público, prestado por todas las instituciones señaladas en el artículo 3 de esta Ley;</w:t>
      </w:r>
    </w:p>
    <w:p w:rsidR="007B1C8F" w:rsidRDefault="007B1C8F" w:rsidP="007B1C8F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F09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De Acuerdo con lo que señala la norma técnica del subsistema de evaluación del desempeño, en Acuerdo Ministerial 41, </w:t>
      </w:r>
      <w:r w:rsidRPr="006C234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Suplemento N°</w:t>
      </w:r>
      <w:r w:rsidRPr="006C234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s-EC"/>
        </w:rPr>
        <w:t xml:space="preserve"> </w:t>
      </w:r>
      <w:r w:rsidRPr="006C234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218 de R</w:t>
      </w:r>
      <w:r w:rsidR="007550F3" w:rsidRPr="006C234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egistro Oficial del 10-04-2018 y reformada el 6 de marzo del 2020 </w:t>
      </w:r>
      <w:r w:rsidRPr="006C234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en plena vigencia, suscrito por el señor </w:t>
      </w:r>
      <w:r w:rsidR="007E0F24" w:rsidRPr="006C234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M</w:t>
      </w:r>
      <w:r w:rsidRPr="006C234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inistro del Trabajo; Abg</w:t>
      </w:r>
      <w:r w:rsidR="00FB005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  </w:t>
      </w:r>
      <w:r w:rsidR="007550F3" w:rsidRPr="006C234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Raúl Clemente Ledesma Huerta</w:t>
      </w:r>
      <w:r w:rsidRPr="006C234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 </w:t>
      </w:r>
    </w:p>
    <w:p w:rsidR="00FB0054" w:rsidRPr="00FB0054" w:rsidRDefault="00FB0054" w:rsidP="00FB0054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B005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El artículo 2 de esta Norma Técnica señala que las disposiciones de esta normativa son aplicación obligatoria para todas las instituciones del Estado determinadas en el artículo 3 de la Ley Orgánica del Servicio Público - LOSEP.</w:t>
      </w:r>
    </w:p>
    <w:p w:rsidR="006C2349" w:rsidRPr="006C2349" w:rsidRDefault="00FB0054" w:rsidP="006C2349">
      <w:pPr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De forma adicional </w:t>
      </w:r>
      <w:r w:rsidR="00502DC3" w:rsidRPr="006C234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la Disposición </w:t>
      </w:r>
      <w:r w:rsidR="006C2349" w:rsidRPr="006C234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Transitoria </w:t>
      </w:r>
      <w:r w:rsidR="00502DC3" w:rsidRPr="006C234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Tercera, “</w:t>
      </w:r>
      <w:proofErr w:type="gramStart"/>
      <w:r w:rsidR="00502DC3" w:rsidRPr="006C234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TERCERA.-</w:t>
      </w:r>
      <w:proofErr w:type="gramEnd"/>
      <w:r w:rsidR="00502DC3" w:rsidRPr="006C234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6C2349" w:rsidRPr="006C234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 xml:space="preserve">Para dar cumplimiento a la evaluación del desempeño del ejercicio fiscal 2019, se aperturará hasta el 15 de marzo del 2020 el Módulo de Evaluación del Desempeño dentro del Sistema Informático Integrado de Talento Humano - SIITH, con la finalidad de que las instituciones públicas puedan concluir el proceso de evaluación del desempeño, incluidos: notificación de resultados, reconsideración y/o recalificación al servidor </w:t>
      </w:r>
      <w:r w:rsidR="006C2349" w:rsidRPr="006C234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lastRenderedPageBreak/>
        <w:t>público.</w:t>
      </w:r>
      <w:r w:rsidR="006C2349" w:rsidRPr="006C2349">
        <w:rPr>
          <w:rFonts w:ascii="Times New Roman" w:hAnsi="Times New Roman" w:cs="Times New Roman"/>
          <w:sz w:val="24"/>
          <w:szCs w:val="24"/>
        </w:rPr>
        <w:t xml:space="preserve"> </w:t>
      </w:r>
      <w:r w:rsidR="006C2349" w:rsidRPr="006C234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>Para el proceso de evaluación del desempeño de los siguientes ejercicios fiscales, se respetarán las fechas establecidas en la presente norma técnica.</w:t>
      </w:r>
    </w:p>
    <w:p w:rsidR="006C2349" w:rsidRPr="006C2349" w:rsidRDefault="006C2349" w:rsidP="006C2349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C234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El artículo Art. 11 de la normativa señalada con anterioridad menciona las etapas del proceso de evaluación del desempeño, las mismas que estarán integradas por:</w:t>
      </w:r>
    </w:p>
    <w:p w:rsidR="006C2349" w:rsidRPr="006C2349" w:rsidRDefault="006C2349" w:rsidP="006C2349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C234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a) Establecimiento de factores de evaluación del desempeño;</w:t>
      </w:r>
    </w:p>
    <w:p w:rsidR="006C2349" w:rsidRPr="006C2349" w:rsidRDefault="006C2349" w:rsidP="006C2349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C234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b) Ejecución del proceso de evaluación del desempeño;</w:t>
      </w:r>
    </w:p>
    <w:p w:rsidR="006C2349" w:rsidRPr="006C2349" w:rsidRDefault="006C2349" w:rsidP="006C2349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C234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c) Notificación de resultados, reconsideración y/o recalificación; y,</w:t>
      </w:r>
    </w:p>
    <w:p w:rsidR="006C2349" w:rsidRPr="006C2349" w:rsidRDefault="006C2349" w:rsidP="006C2349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C234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d) Informe de Resultados.</w:t>
      </w:r>
    </w:p>
    <w:p w:rsidR="006C2349" w:rsidRPr="00FB0054" w:rsidRDefault="00502DC3" w:rsidP="006C2349">
      <w:pPr>
        <w:jc w:val="both"/>
        <w:rPr>
          <w:rFonts w:ascii="Times New Roman" w:hAnsi="Times New Roman" w:cs="Times New Roman"/>
          <w:sz w:val="24"/>
          <w:szCs w:val="24"/>
        </w:rPr>
      </w:pPr>
      <w:r w:rsidRPr="00FB0054">
        <w:rPr>
          <w:rFonts w:ascii="Times New Roman" w:hAnsi="Times New Roman" w:cs="Times New Roman"/>
          <w:sz w:val="24"/>
          <w:szCs w:val="24"/>
        </w:rPr>
        <w:t xml:space="preserve">Para lo cual, la </w:t>
      </w:r>
      <w:r w:rsidR="006C2349" w:rsidRPr="00FB0054">
        <w:rPr>
          <w:rFonts w:ascii="Times New Roman" w:hAnsi="Times New Roman" w:cs="Times New Roman"/>
          <w:sz w:val="24"/>
          <w:szCs w:val="24"/>
        </w:rPr>
        <w:t xml:space="preserve">Dirección de Administración del Talento Humano </w:t>
      </w:r>
      <w:r w:rsidRPr="00FB0054">
        <w:rPr>
          <w:rFonts w:ascii="Times New Roman" w:hAnsi="Times New Roman" w:cs="Times New Roman"/>
          <w:sz w:val="24"/>
          <w:szCs w:val="24"/>
        </w:rPr>
        <w:t>en conjunto con</w:t>
      </w:r>
      <w:r w:rsidR="006C2349" w:rsidRPr="00FB0054">
        <w:rPr>
          <w:rFonts w:ascii="Times New Roman" w:hAnsi="Times New Roman" w:cs="Times New Roman"/>
          <w:sz w:val="24"/>
          <w:szCs w:val="24"/>
        </w:rPr>
        <w:t xml:space="preserve"> las autoridades académicas y administrativas de la institución</w:t>
      </w:r>
      <w:r w:rsidRPr="00FB0054">
        <w:rPr>
          <w:rFonts w:ascii="Times New Roman" w:hAnsi="Times New Roman" w:cs="Times New Roman"/>
          <w:sz w:val="24"/>
          <w:szCs w:val="24"/>
        </w:rPr>
        <w:t>, tienen la obligación de notificar la Asignación de Responsabilidades al</w:t>
      </w:r>
      <w:r w:rsidR="006C2349" w:rsidRPr="00FB0054">
        <w:rPr>
          <w:rFonts w:ascii="Times New Roman" w:hAnsi="Times New Roman" w:cs="Times New Roman"/>
          <w:sz w:val="24"/>
          <w:szCs w:val="24"/>
        </w:rPr>
        <w:t xml:space="preserve"> personal a su cargo</w:t>
      </w:r>
      <w:r w:rsidRPr="00FB0054">
        <w:rPr>
          <w:rFonts w:ascii="Times New Roman" w:hAnsi="Times New Roman" w:cs="Times New Roman"/>
          <w:sz w:val="24"/>
          <w:szCs w:val="24"/>
        </w:rPr>
        <w:t>, hasta el</w:t>
      </w:r>
      <w:r w:rsidR="006C2349" w:rsidRPr="00FB005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(indicar fecha)</w:t>
      </w:r>
      <w:r w:rsidRPr="00FB0054">
        <w:rPr>
          <w:rFonts w:ascii="Times New Roman" w:hAnsi="Times New Roman" w:cs="Times New Roman"/>
          <w:sz w:val="24"/>
          <w:szCs w:val="24"/>
        </w:rPr>
        <w:t xml:space="preserve">, en donde se reflejen las actividades que deben cumplir para una eficiente ejecución, durante el período de evaluación que rige desde el </w:t>
      </w:r>
      <w:r w:rsidRPr="00FB005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01 de feb</w:t>
      </w:r>
      <w:r w:rsidR="006C2349" w:rsidRPr="00FB005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rero al 31 de diciembre del 2020</w:t>
      </w:r>
      <w:r w:rsidRPr="00FB0054">
        <w:rPr>
          <w:rFonts w:ascii="Times New Roman" w:hAnsi="Times New Roman" w:cs="Times New Roman"/>
          <w:sz w:val="24"/>
          <w:szCs w:val="24"/>
        </w:rPr>
        <w:t>.</w:t>
      </w:r>
      <w:r w:rsidR="00A17039" w:rsidRPr="00FB0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054" w:rsidRPr="00FB0054" w:rsidRDefault="00393EE7" w:rsidP="00FB0054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B005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De acuerdo a lo expuesto, los resultados de las evaluaciones de desempeño deberán ser ingresadas al SIITH, </w:t>
      </w:r>
      <w:r w:rsidR="00FB0054" w:rsidRPr="00FB005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por parte de XXXXXX (indicar nombre de analista de Dirección de Administración del Talento Humano</w:t>
      </w:r>
      <w:r w:rsidR="005F09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quien</w:t>
      </w:r>
      <w:r w:rsidR="00FB0054" w:rsidRPr="00FB005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ingresará información en el sistema del Ministerio de Trabajo.)</w:t>
      </w:r>
    </w:p>
    <w:p w:rsidR="0005797B" w:rsidRPr="005F09E1" w:rsidRDefault="00786C1C" w:rsidP="00FB0054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  <w:r w:rsidRPr="005F09E1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O</w:t>
      </w:r>
      <w:r w:rsidR="0005797B" w:rsidRPr="005F09E1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bjetivos</w:t>
      </w:r>
    </w:p>
    <w:p w:rsidR="0064094C" w:rsidRPr="005F09E1" w:rsidRDefault="00355A92" w:rsidP="00A01BC9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F09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Captar, </w:t>
      </w:r>
      <w:r w:rsidR="00845EBE" w:rsidRPr="005F09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observar</w:t>
      </w:r>
      <w:r w:rsidRPr="005F09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y consolidar </w:t>
      </w:r>
      <w:r w:rsidR="00D6605B" w:rsidRPr="005F09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 través del </w:t>
      </w:r>
      <w:r w:rsidR="00A17039" w:rsidRPr="005F09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monitoreo y datos estadísticos</w:t>
      </w:r>
      <w:r w:rsidR="00D6605B" w:rsidRPr="005F09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r w:rsidRPr="005F09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los resultados de </w:t>
      </w:r>
      <w:r w:rsidR="00845EBE" w:rsidRPr="005F09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la </w:t>
      </w:r>
      <w:r w:rsidRPr="005F09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evaluación del desempeño </w:t>
      </w:r>
      <w:r w:rsidR="00845EBE" w:rsidRPr="005F09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que cada jefe inmediato ha </w:t>
      </w:r>
      <w:r w:rsidRPr="005F09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valorado</w:t>
      </w:r>
      <w:r w:rsidR="00845EBE" w:rsidRPr="005F09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en </w:t>
      </w:r>
      <w:r w:rsidR="0064094C" w:rsidRPr="005F09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los indicadores de </w:t>
      </w:r>
      <w:r w:rsidR="00B67951" w:rsidRPr="005F09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Gestión Estratégica</w:t>
      </w:r>
      <w:r w:rsidR="0043389F" w:rsidRPr="005F09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r w:rsidR="00657483" w:rsidRPr="005F09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Eficiencia del Desempeño Individual, Nivel de satisfacción de usuarios externos y Nivel de satisfacción de usuarios internos</w:t>
      </w:r>
      <w:r w:rsidR="00D6605B" w:rsidRPr="005F09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a los servidores que estén bajo su responsabilidad.</w:t>
      </w:r>
    </w:p>
    <w:p w:rsidR="0005797B" w:rsidRPr="005F09E1" w:rsidRDefault="0005797B" w:rsidP="00FB0054">
      <w:pPr>
        <w:pStyle w:val="Prrafodelista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  <w:r w:rsidRPr="005F09E1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Misión</w:t>
      </w:r>
    </w:p>
    <w:p w:rsidR="00D6605B" w:rsidRPr="005F09E1" w:rsidRDefault="006B3985" w:rsidP="00A17039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F09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Efectuar a través de las respectivas evaluaciones de </w:t>
      </w:r>
      <w:r w:rsidR="00FB0054" w:rsidRPr="005F09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desempeño, el</w:t>
      </w:r>
      <w:r w:rsidR="00A17039" w:rsidRPr="005F09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bookmarkStart w:id="0" w:name="_GoBack"/>
      <w:bookmarkEnd w:id="0"/>
      <w:r w:rsidR="00D6605B" w:rsidRPr="005F09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desarrollo y capaci</w:t>
      </w:r>
      <w:r w:rsidR="005F09E1" w:rsidRPr="005F09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dades del personal administrativo</w:t>
      </w:r>
      <w:r w:rsidR="00D6605B" w:rsidRPr="005F09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con la finalidad de impulsar al mejoramiento continuo y los propósitos institucionales de la calidad del servicio público a través de las capacitaciones que den continuidad a su desarrollo. </w:t>
      </w:r>
    </w:p>
    <w:p w:rsidR="00A17039" w:rsidRPr="005F09E1" w:rsidRDefault="00A17039" w:rsidP="00FB0054">
      <w:pPr>
        <w:pStyle w:val="Prrafodelista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  <w:r w:rsidRPr="005F09E1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Cronograma para el Proceso de Evaluación de Desempeño</w:t>
      </w:r>
    </w:p>
    <w:p w:rsidR="00FB0054" w:rsidRPr="00FB0054" w:rsidRDefault="00FB0054" w:rsidP="00FB0054">
      <w:pPr>
        <w:pStyle w:val="Prrafodelista"/>
        <w:ind w:left="284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es-EC"/>
        </w:rPr>
      </w:pPr>
      <w:r w:rsidRPr="00FB0054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es-EC"/>
        </w:rPr>
        <w:t>(Anexar cronograma)</w:t>
      </w:r>
    </w:p>
    <w:p w:rsidR="00FB0054" w:rsidRDefault="00F26125" w:rsidP="007C4CC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es-EC"/>
        </w:rPr>
      </w:pPr>
      <w:r w:rsidRPr="006C2349">
        <w:rPr>
          <w:rFonts w:ascii="Times New Roman" w:eastAsia="Times New Roman" w:hAnsi="Times New Roman" w:cs="Times New Roman"/>
          <w:color w:val="333333"/>
          <w:sz w:val="24"/>
          <w:szCs w:val="24"/>
          <w:lang w:eastAsia="es-EC"/>
        </w:rPr>
        <w:t>Particular que remito a usted para su autorización previo a la ejecución de</w:t>
      </w:r>
      <w:r w:rsidR="00FB0054">
        <w:rPr>
          <w:rFonts w:ascii="Times New Roman" w:eastAsia="Times New Roman" w:hAnsi="Times New Roman" w:cs="Times New Roman"/>
          <w:color w:val="333333"/>
          <w:sz w:val="24"/>
          <w:szCs w:val="24"/>
          <w:lang w:eastAsia="es-EC"/>
        </w:rPr>
        <w:t>l proceso.</w:t>
      </w:r>
      <w:r w:rsidRPr="006C2349">
        <w:rPr>
          <w:rFonts w:ascii="Times New Roman" w:eastAsia="Times New Roman" w:hAnsi="Times New Roman" w:cs="Times New Roman"/>
          <w:color w:val="333333"/>
          <w:sz w:val="24"/>
          <w:szCs w:val="24"/>
          <w:lang w:eastAsia="es-EC"/>
        </w:rPr>
        <w:t xml:space="preserve"> </w:t>
      </w:r>
    </w:p>
    <w:p w:rsidR="00F26125" w:rsidRPr="006C2349" w:rsidRDefault="00F26125" w:rsidP="007C4CC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es-EC"/>
        </w:rPr>
      </w:pPr>
      <w:r w:rsidRPr="006C2349">
        <w:rPr>
          <w:rFonts w:ascii="Times New Roman" w:eastAsia="Times New Roman" w:hAnsi="Times New Roman" w:cs="Times New Roman"/>
          <w:color w:val="333333"/>
          <w:sz w:val="24"/>
          <w:szCs w:val="24"/>
          <w:lang w:eastAsia="es-EC"/>
        </w:rPr>
        <w:t xml:space="preserve">Atentamente, </w:t>
      </w:r>
    </w:p>
    <w:p w:rsidR="00A17039" w:rsidRDefault="00A17039" w:rsidP="007C4CC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es-EC"/>
        </w:rPr>
      </w:pPr>
    </w:p>
    <w:p w:rsidR="00FB0054" w:rsidRPr="00FB0054" w:rsidRDefault="00FB0054" w:rsidP="00FB0054">
      <w:pPr>
        <w:spacing w:after="0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s-EC"/>
        </w:rPr>
      </w:pPr>
      <w:proofErr w:type="spellStart"/>
      <w:r w:rsidRPr="00FB005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s-EC"/>
        </w:rPr>
        <w:t>Psic</w:t>
      </w:r>
      <w:proofErr w:type="spellEnd"/>
      <w:r w:rsidRPr="00FB005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s-EC"/>
        </w:rPr>
        <w:t xml:space="preserve">. Gerardo </w:t>
      </w:r>
      <w:proofErr w:type="spellStart"/>
      <w:r w:rsidRPr="00FB005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s-EC"/>
        </w:rPr>
        <w:t>Villacreses</w:t>
      </w:r>
      <w:proofErr w:type="spellEnd"/>
      <w:r w:rsidRPr="00FB005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s-EC"/>
        </w:rPr>
        <w:t xml:space="preserve"> Álvarez</w:t>
      </w:r>
    </w:p>
    <w:p w:rsidR="00FB0054" w:rsidRPr="00FB0054" w:rsidRDefault="00FB0054" w:rsidP="00FB0054">
      <w:pPr>
        <w:spacing w:after="0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s-EC"/>
        </w:rPr>
      </w:pPr>
      <w:r w:rsidRPr="00FB005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s-EC"/>
        </w:rPr>
        <w:t>Director de Administración del Talento Humano</w:t>
      </w:r>
    </w:p>
    <w:p w:rsidR="00FB0054" w:rsidRDefault="00FB0054" w:rsidP="007C4CC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es-EC"/>
        </w:rPr>
      </w:pPr>
    </w:p>
    <w:p w:rsidR="00FB0054" w:rsidRPr="006C2349" w:rsidRDefault="00FB0054" w:rsidP="007C4CC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es-EC"/>
        </w:rPr>
      </w:pPr>
    </w:p>
    <w:sectPr w:rsidR="00FB0054" w:rsidRPr="006C2349" w:rsidSect="00F37F7B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D82" w:rsidRDefault="00AA7D82" w:rsidP="00F9441B">
      <w:pPr>
        <w:spacing w:after="0" w:line="240" w:lineRule="auto"/>
      </w:pPr>
      <w:r>
        <w:separator/>
      </w:r>
    </w:p>
  </w:endnote>
  <w:endnote w:type="continuationSeparator" w:id="0">
    <w:p w:rsidR="00AA7D82" w:rsidRDefault="00AA7D82" w:rsidP="00F9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41B" w:rsidRDefault="00F9441B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5408" behindDoc="1" locked="0" layoutInCell="1" allowOverlap="1" wp14:anchorId="1F0A280C" wp14:editId="63AF13AC">
          <wp:simplePos x="0" y="0"/>
          <wp:positionH relativeFrom="margin">
            <wp:posOffset>1882140</wp:posOffset>
          </wp:positionH>
          <wp:positionV relativeFrom="paragraph">
            <wp:posOffset>44450</wp:posOffset>
          </wp:positionV>
          <wp:extent cx="3600450" cy="403225"/>
          <wp:effectExtent l="0" t="0" r="0" b="0"/>
          <wp:wrapTight wrapText="bothSides">
            <wp:wrapPolygon edited="0">
              <wp:start x="0" y="0"/>
              <wp:lineTo x="0" y="20409"/>
              <wp:lineTo x="21486" y="20409"/>
              <wp:lineTo x="21486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BEE92E6" wp14:editId="7A86571F">
              <wp:simplePos x="0" y="0"/>
              <wp:positionH relativeFrom="column">
                <wp:posOffset>-109855</wp:posOffset>
              </wp:positionH>
              <wp:positionV relativeFrom="paragraph">
                <wp:posOffset>47625</wp:posOffset>
              </wp:positionV>
              <wp:extent cx="1781175" cy="561975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441B" w:rsidRPr="00512C74" w:rsidRDefault="00F9441B" w:rsidP="00F9441B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512C74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Teléf. 05 – 2628-830 Ext. 263</w:t>
                          </w:r>
                        </w:p>
                        <w:p w:rsidR="00F9441B" w:rsidRPr="00512C74" w:rsidRDefault="00F9441B" w:rsidP="00F9441B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512C74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Av. Circunvalación Vía a San Mateo</w:t>
                          </w:r>
                        </w:p>
                        <w:p w:rsidR="00F9441B" w:rsidRPr="00512C74" w:rsidRDefault="00AA7D82" w:rsidP="00F9441B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F9441B" w:rsidRPr="00512C74">
                              <w:rPr>
                                <w:rStyle w:val="Hipervnculo"/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www.uleam.edu.ec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E92E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.65pt;margin-top:3.75pt;width:140.25pt;height:4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" filled="f" stroked="f">
              <v:textbox>
                <w:txbxContent>
                  <w:p w:rsidR="00F9441B" w:rsidRPr="00512C74" w:rsidRDefault="00F9441B" w:rsidP="00F9441B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 w:rsidRPr="00512C74">
                      <w:rPr>
                        <w:rFonts w:ascii="Century Gothic" w:hAnsi="Century Gothic"/>
                        <w:sz w:val="14"/>
                        <w:szCs w:val="14"/>
                      </w:rPr>
                      <w:t>Teléf. 05 – 2628-830 Ext. 263</w:t>
                    </w:r>
                  </w:p>
                  <w:p w:rsidR="00F9441B" w:rsidRPr="00512C74" w:rsidRDefault="00F9441B" w:rsidP="00F9441B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 w:rsidRPr="00512C74">
                      <w:rPr>
                        <w:rFonts w:ascii="Century Gothic" w:hAnsi="Century Gothic"/>
                        <w:sz w:val="14"/>
                        <w:szCs w:val="14"/>
                      </w:rPr>
                      <w:t>Av. Circunvalación Vía a San Mateo</w:t>
                    </w:r>
                  </w:p>
                  <w:p w:rsidR="00F9441B" w:rsidRPr="00512C74" w:rsidRDefault="00536069" w:rsidP="00F9441B">
                    <w:pPr>
                      <w:pStyle w:val="Sinespaciado"/>
                      <w:jc w:val="right"/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</w:pPr>
                    <w:hyperlink r:id="rId3" w:history="1">
                      <w:r w:rsidR="00F9441B" w:rsidRPr="00512C74">
                        <w:rPr>
                          <w:rStyle w:val="Hipervnculo"/>
                          <w:rFonts w:ascii="Century Gothic" w:hAnsi="Century Gothic"/>
                          <w:b/>
                          <w:sz w:val="14"/>
                          <w:szCs w:val="14"/>
                        </w:rPr>
                        <w:t>www.uleam.edu.ec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D82" w:rsidRDefault="00AA7D82" w:rsidP="00F9441B">
      <w:pPr>
        <w:spacing w:after="0" w:line="240" w:lineRule="auto"/>
      </w:pPr>
      <w:r>
        <w:separator/>
      </w:r>
    </w:p>
  </w:footnote>
  <w:footnote w:type="continuationSeparator" w:id="0">
    <w:p w:rsidR="00AA7D82" w:rsidRDefault="00AA7D82" w:rsidP="00F9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27"/>
    </w:tblGrid>
    <w:tr w:rsidR="00F37F7B" w:rsidRPr="00D706CC" w:rsidTr="00E30C5C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F37F7B" w:rsidRPr="00D706CC" w:rsidRDefault="00F37F7B" w:rsidP="00F37F7B">
          <w:pPr>
            <w:suppressAutoHyphens/>
            <w:spacing w:after="0" w:line="276" w:lineRule="auto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69504" behindDoc="1" locked="0" layoutInCell="1" allowOverlap="1" wp14:anchorId="231386B1" wp14:editId="3F22EDF5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1" name="Imagen 1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eastAsia="Calibri" w:hAnsi="Calibri" w:cs="Calibri"/>
              <w:lang w:eastAsia="ar-SA"/>
            </w:rPr>
            <w:t>2</w:t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37F7B" w:rsidRPr="0083566E" w:rsidRDefault="00F37F7B" w:rsidP="00F37F7B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:rsidR="00F37F7B" w:rsidRPr="0083566E" w:rsidRDefault="00F37F7B" w:rsidP="00F37F7B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PHD-02-F-001</w:t>
          </w:r>
        </w:p>
      </w:tc>
    </w:tr>
    <w:tr w:rsidR="00F37F7B" w:rsidRPr="00D706CC" w:rsidTr="00E30C5C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F37F7B" w:rsidRPr="00D706CC" w:rsidRDefault="00F37F7B" w:rsidP="00F37F7B">
          <w:pPr>
            <w:suppressAutoHyphens/>
            <w:spacing w:after="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7F7B" w:rsidRPr="0083566E" w:rsidRDefault="00C4168E" w:rsidP="00F37F7B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PLAN ANUAL DEL DESEMPEÑO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:rsidR="00F37F7B" w:rsidRPr="0083566E" w:rsidRDefault="00F37F7B" w:rsidP="00F37F7B">
          <w:pPr>
            <w:suppressAutoHyphens/>
            <w:spacing w:after="20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F37F7B" w:rsidRPr="00D706CC" w:rsidTr="00E30C5C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F37F7B" w:rsidRPr="00D706CC" w:rsidRDefault="00F37F7B" w:rsidP="00F37F7B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37F7B" w:rsidRPr="0083566E" w:rsidRDefault="00F37F7B" w:rsidP="00F37F7B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EVALUACIÓN DEL DESEMPEÑO PARA EL PERSONAL ADMINISTRATIVO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F37F7B" w:rsidRPr="0083566E" w:rsidRDefault="00F37F7B" w:rsidP="00F37F7B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1</w:t>
          </w:r>
        </w:p>
      </w:tc>
    </w:tr>
    <w:tr w:rsidR="00F37F7B" w:rsidRPr="00D706CC" w:rsidTr="00E30C5C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F37F7B" w:rsidRPr="00D706CC" w:rsidRDefault="00F37F7B" w:rsidP="00F37F7B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7F7B" w:rsidRPr="0083566E" w:rsidRDefault="00F37F7B" w:rsidP="00F37F7B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F37F7B" w:rsidRPr="0083566E" w:rsidRDefault="00F37F7B" w:rsidP="00F37F7B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5F09E1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3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5F09E1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3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F9441B" w:rsidRDefault="00F944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6B4C"/>
    <w:multiLevelType w:val="hybridMultilevel"/>
    <w:tmpl w:val="B788766E"/>
    <w:lvl w:ilvl="0" w:tplc="F6AA69E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84052"/>
    <w:multiLevelType w:val="hybridMultilevel"/>
    <w:tmpl w:val="18A00696"/>
    <w:lvl w:ilvl="0" w:tplc="A18CE1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0E"/>
    <w:rsid w:val="00013B54"/>
    <w:rsid w:val="00027962"/>
    <w:rsid w:val="0005797B"/>
    <w:rsid w:val="00244F0E"/>
    <w:rsid w:val="00264B5D"/>
    <w:rsid w:val="002D12BE"/>
    <w:rsid w:val="002E7F14"/>
    <w:rsid w:val="00355A92"/>
    <w:rsid w:val="00363EE2"/>
    <w:rsid w:val="00393EE7"/>
    <w:rsid w:val="0043389F"/>
    <w:rsid w:val="0048267F"/>
    <w:rsid w:val="00502DC3"/>
    <w:rsid w:val="00536069"/>
    <w:rsid w:val="005C0BC4"/>
    <w:rsid w:val="005F09E1"/>
    <w:rsid w:val="0064094C"/>
    <w:rsid w:val="0065466B"/>
    <w:rsid w:val="00657483"/>
    <w:rsid w:val="00674488"/>
    <w:rsid w:val="006B3985"/>
    <w:rsid w:val="006C2349"/>
    <w:rsid w:val="006C54C9"/>
    <w:rsid w:val="00702BF4"/>
    <w:rsid w:val="007550F3"/>
    <w:rsid w:val="00786C1C"/>
    <w:rsid w:val="007B1C8F"/>
    <w:rsid w:val="007C23C6"/>
    <w:rsid w:val="007C4CC0"/>
    <w:rsid w:val="007E0F24"/>
    <w:rsid w:val="00813022"/>
    <w:rsid w:val="00845EBE"/>
    <w:rsid w:val="008520A0"/>
    <w:rsid w:val="00857995"/>
    <w:rsid w:val="008B1AEA"/>
    <w:rsid w:val="00936F62"/>
    <w:rsid w:val="00980F71"/>
    <w:rsid w:val="009B4140"/>
    <w:rsid w:val="009C6B81"/>
    <w:rsid w:val="00A01BC9"/>
    <w:rsid w:val="00A17039"/>
    <w:rsid w:val="00A301B5"/>
    <w:rsid w:val="00A60E7C"/>
    <w:rsid w:val="00AA7D82"/>
    <w:rsid w:val="00AB1989"/>
    <w:rsid w:val="00AB75C5"/>
    <w:rsid w:val="00B67951"/>
    <w:rsid w:val="00B731A9"/>
    <w:rsid w:val="00BB0E19"/>
    <w:rsid w:val="00C0546E"/>
    <w:rsid w:val="00C4168E"/>
    <w:rsid w:val="00C72E88"/>
    <w:rsid w:val="00CC0F74"/>
    <w:rsid w:val="00CC7421"/>
    <w:rsid w:val="00CF64F0"/>
    <w:rsid w:val="00D6605B"/>
    <w:rsid w:val="00DA3F13"/>
    <w:rsid w:val="00E04B83"/>
    <w:rsid w:val="00E3757C"/>
    <w:rsid w:val="00E46FB3"/>
    <w:rsid w:val="00E574AC"/>
    <w:rsid w:val="00E728A1"/>
    <w:rsid w:val="00F26125"/>
    <w:rsid w:val="00F37F7B"/>
    <w:rsid w:val="00F7421F"/>
    <w:rsid w:val="00F87809"/>
    <w:rsid w:val="00F9441B"/>
    <w:rsid w:val="00FB0054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63BC4"/>
  <w15:chartTrackingRefBased/>
  <w15:docId w15:val="{BDB52746-D92D-450F-B6F9-ACE3C128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71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0F71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4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41B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F94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41B"/>
    <w:rPr>
      <w:lang w:val="es-EC"/>
    </w:rPr>
  </w:style>
  <w:style w:type="paragraph" w:styleId="Sinespaciado">
    <w:name w:val="No Spacing"/>
    <w:link w:val="SinespaciadoCar"/>
    <w:uiPriority w:val="1"/>
    <w:qFormat/>
    <w:rsid w:val="00F9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9441B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393E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8A1"/>
    <w:rPr>
      <w:rFonts w:ascii="Segoe UI" w:hAnsi="Segoe UI" w:cs="Segoe UI"/>
      <w:sz w:val="18"/>
      <w:szCs w:val="18"/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37F7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37F7B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leam.edu.ec" TargetMode="External"/><Relationship Id="rId2" Type="http://schemas.openxmlformats.org/officeDocument/2006/relationships/hyperlink" Target="http://www.uleam.edu.ec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3A9B0-1CDE-4D1C-8D02-3FE5D7327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E89F8-1FED-4040-A0F1-6033C064F6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2422D1-6457-46E2-883F-6598015E5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bravo gomez</dc:creator>
  <cp:keywords/>
  <dc:description/>
  <cp:lastModifiedBy>Usuario de Windows</cp:lastModifiedBy>
  <cp:revision>5</cp:revision>
  <cp:lastPrinted>2019-10-24T16:42:00Z</cp:lastPrinted>
  <dcterms:created xsi:type="dcterms:W3CDTF">2020-08-21T16:20:00Z</dcterms:created>
  <dcterms:modified xsi:type="dcterms:W3CDTF">2020-08-21T20:13:00Z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