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EA" w:rsidRDefault="00D973EA" w:rsidP="00D973EA">
      <w:pPr>
        <w:pStyle w:val="Sinespaciado"/>
        <w:jc w:val="right"/>
        <w:rPr>
          <w:b/>
          <w:bCs/>
          <w:lang w:val="es-EC"/>
        </w:rPr>
      </w:pPr>
      <w:bookmarkStart w:id="0" w:name="_GoBack"/>
      <w:bookmarkEnd w:id="0"/>
    </w:p>
    <w:p w:rsidR="00D973EA" w:rsidRPr="00246935" w:rsidRDefault="00D973EA" w:rsidP="00D973EA">
      <w:pPr>
        <w:pStyle w:val="Sinespaciado"/>
        <w:jc w:val="right"/>
        <w:rPr>
          <w:rFonts w:asciiTheme="minorHAnsi" w:hAnsiTheme="minorHAnsi" w:cstheme="minorHAnsi"/>
          <w:b/>
          <w:bCs/>
          <w:sz w:val="22"/>
          <w:szCs w:val="22"/>
          <w:lang w:val="es-EC"/>
        </w:rPr>
      </w:pPr>
      <w:r w:rsidRPr="00246935">
        <w:rPr>
          <w:rFonts w:asciiTheme="minorHAnsi" w:hAnsiTheme="minorHAnsi" w:cstheme="minorHAnsi"/>
          <w:b/>
          <w:bCs/>
          <w:sz w:val="22"/>
          <w:szCs w:val="22"/>
          <w:lang w:val="es-EC"/>
        </w:rPr>
        <w:t xml:space="preserve">      Memorando nro.: ULEAM-DATH-20</w:t>
      </w:r>
      <w:r w:rsidRPr="00246935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s-EC"/>
        </w:rPr>
        <w:t>XX</w:t>
      </w:r>
      <w:r w:rsidRPr="00246935">
        <w:rPr>
          <w:rFonts w:asciiTheme="minorHAnsi" w:hAnsiTheme="minorHAnsi" w:cstheme="minorHAnsi"/>
          <w:b/>
          <w:bCs/>
          <w:sz w:val="22"/>
          <w:szCs w:val="22"/>
          <w:lang w:val="es-EC"/>
        </w:rPr>
        <w:t>-</w:t>
      </w:r>
      <w:r w:rsidRPr="00246935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s-EC"/>
        </w:rPr>
        <w:t>XXX</w:t>
      </w:r>
      <w:r w:rsidRPr="00246935">
        <w:rPr>
          <w:rFonts w:asciiTheme="minorHAnsi" w:hAnsiTheme="minorHAnsi" w:cstheme="minorHAnsi"/>
          <w:b/>
          <w:bCs/>
          <w:sz w:val="22"/>
          <w:szCs w:val="22"/>
          <w:lang w:val="es-EC"/>
        </w:rPr>
        <w:t>-M</w:t>
      </w:r>
    </w:p>
    <w:p w:rsidR="00D973EA" w:rsidRPr="00246935" w:rsidRDefault="00D973EA" w:rsidP="00D973EA">
      <w:pPr>
        <w:tabs>
          <w:tab w:val="left" w:pos="1395"/>
          <w:tab w:val="center" w:pos="4252"/>
        </w:tabs>
        <w:jc w:val="right"/>
        <w:rPr>
          <w:rFonts w:eastAsia="Arial" w:cstheme="minorHAnsi"/>
          <w:color w:val="808080" w:themeColor="background1" w:themeShade="80"/>
        </w:rPr>
      </w:pPr>
      <w:r w:rsidRPr="00246935">
        <w:rPr>
          <w:rFonts w:eastAsia="Arial" w:cstheme="minorHAnsi"/>
        </w:rPr>
        <w:t xml:space="preserve">Manta, </w:t>
      </w:r>
      <w:r w:rsidRPr="00246935">
        <w:rPr>
          <w:rFonts w:eastAsia="Arial" w:cstheme="minorHAnsi"/>
          <w:color w:val="808080" w:themeColor="background1" w:themeShade="80"/>
        </w:rPr>
        <w:t>04 de agosto de 2020</w:t>
      </w:r>
    </w:p>
    <w:p w:rsidR="00D973EA" w:rsidRPr="00246935" w:rsidRDefault="00D973EA" w:rsidP="00D973EA">
      <w:pPr>
        <w:tabs>
          <w:tab w:val="left" w:pos="1395"/>
          <w:tab w:val="center" w:pos="4252"/>
        </w:tabs>
        <w:jc w:val="right"/>
        <w:rPr>
          <w:rFonts w:eastAsia="Arial" w:cstheme="minorHAnsi"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D973EA" w:rsidRPr="00246935" w:rsidTr="00B76836">
        <w:tc>
          <w:tcPr>
            <w:tcW w:w="1413" w:type="dxa"/>
            <w:hideMark/>
          </w:tcPr>
          <w:p w:rsidR="00D973EA" w:rsidRPr="00246935" w:rsidRDefault="00D973EA" w:rsidP="00B76836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4693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PARA:       </w:t>
            </w:r>
          </w:p>
        </w:tc>
        <w:tc>
          <w:tcPr>
            <w:tcW w:w="7081" w:type="dxa"/>
            <w:hideMark/>
          </w:tcPr>
          <w:p w:rsidR="00D973EA" w:rsidRPr="00246935" w:rsidRDefault="00D973EA" w:rsidP="00B7683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6935">
              <w:rPr>
                <w:rFonts w:asciiTheme="minorHAnsi" w:hAnsiTheme="minorHAnsi" w:cstheme="minorHAnsi"/>
                <w:sz w:val="22"/>
                <w:szCs w:val="22"/>
              </w:rPr>
              <w:t>Nombre de autoridad nominadora</w:t>
            </w:r>
          </w:p>
          <w:p w:rsidR="00D973EA" w:rsidRPr="00246935" w:rsidRDefault="00D973EA" w:rsidP="00B7683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6935">
              <w:rPr>
                <w:rFonts w:asciiTheme="minorHAnsi" w:hAnsiTheme="minorHAnsi" w:cstheme="minorHAnsi"/>
                <w:sz w:val="22"/>
                <w:szCs w:val="22"/>
              </w:rPr>
              <w:t>Rector (a) Universidad Laica Eloy Alfaro de Manabí</w:t>
            </w:r>
          </w:p>
        </w:tc>
      </w:tr>
      <w:tr w:rsidR="00D973EA" w:rsidRPr="00246935" w:rsidTr="00B76836">
        <w:tc>
          <w:tcPr>
            <w:tcW w:w="1413" w:type="dxa"/>
            <w:tcBorders>
              <w:bottom w:val="single" w:sz="4" w:space="0" w:color="auto"/>
            </w:tcBorders>
            <w:hideMark/>
          </w:tcPr>
          <w:p w:rsidR="00D973EA" w:rsidRPr="00246935" w:rsidRDefault="00D973EA" w:rsidP="00B76836">
            <w:pPr>
              <w:pStyle w:val="Sinespaciad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4693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ASUNTO:  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hideMark/>
          </w:tcPr>
          <w:p w:rsidR="00D973EA" w:rsidRPr="00246935" w:rsidRDefault="00D973EA" w:rsidP="00B76836">
            <w:pPr>
              <w:pStyle w:val="Sinespaciad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46935">
              <w:rPr>
                <w:rFonts w:asciiTheme="minorHAnsi" w:eastAsia="Arial" w:hAnsiTheme="minorHAnsi" w:cstheme="minorHAnsi"/>
                <w:sz w:val="22"/>
                <w:szCs w:val="22"/>
              </w:rPr>
              <w:t>Informe de resultados del proceso de evaluación del desempeño para el personal administrativo de la universidad.</w:t>
            </w:r>
          </w:p>
        </w:tc>
      </w:tr>
    </w:tbl>
    <w:p w:rsidR="00D973EA" w:rsidRPr="00246935" w:rsidRDefault="00D973EA" w:rsidP="00D973EA">
      <w:pPr>
        <w:jc w:val="both"/>
        <w:rPr>
          <w:rFonts w:cstheme="minorHAnsi"/>
        </w:rPr>
      </w:pPr>
    </w:p>
    <w:p w:rsidR="00D973EA" w:rsidRPr="00246935" w:rsidRDefault="00D973EA" w:rsidP="00D973EA">
      <w:pPr>
        <w:pStyle w:val="Prrafodelista"/>
        <w:ind w:left="0"/>
        <w:jc w:val="both"/>
        <w:rPr>
          <w:rFonts w:cstheme="minorHAnsi"/>
        </w:rPr>
      </w:pPr>
      <w:r w:rsidRPr="00246935">
        <w:rPr>
          <w:rFonts w:cstheme="minorHAnsi"/>
        </w:rPr>
        <w:t>Por el presente expreso saludos cordiales, a la vez presento ante usted el informe de resultados del proceso de evaluación del desempeño para el personal administrativo de la universidad, acorde a lo establecido en la Norma Técnica del Subsistema de Evaluación del Desempeño, por lo que remito lo siguiente:</w:t>
      </w:r>
    </w:p>
    <w:p w:rsidR="000770CA" w:rsidRPr="00246935" w:rsidRDefault="00D973EA" w:rsidP="002011A7">
      <w:pPr>
        <w:jc w:val="both"/>
        <w:rPr>
          <w:rFonts w:cstheme="minorHAnsi"/>
          <w:color w:val="808080" w:themeColor="background1" w:themeShade="80"/>
        </w:rPr>
      </w:pPr>
      <w:r w:rsidRPr="00246935">
        <w:rPr>
          <w:rFonts w:cstheme="minorHAnsi"/>
          <w:color w:val="808080" w:themeColor="background1" w:themeShade="80"/>
        </w:rPr>
        <w:t>(</w:t>
      </w:r>
      <w:r w:rsidR="002011A7">
        <w:rPr>
          <w:rFonts w:cstheme="minorHAnsi"/>
          <w:color w:val="808080" w:themeColor="background1" w:themeShade="80"/>
        </w:rPr>
        <w:t>Dirección de Administración del Talento Humano procede a continuación agregar</w:t>
      </w:r>
      <w:r w:rsidRPr="00246935">
        <w:rPr>
          <w:rFonts w:cstheme="minorHAnsi"/>
          <w:color w:val="808080" w:themeColor="background1" w:themeShade="80"/>
        </w:rPr>
        <w:t xml:space="preserve"> información correspondiente a los resultados del proceso)</w:t>
      </w:r>
    </w:p>
    <w:p w:rsidR="00202BC4" w:rsidRPr="00354CAC" w:rsidRDefault="00202BC4" w:rsidP="00354CAC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354CAC">
        <w:rPr>
          <w:rFonts w:cstheme="minorHAnsi"/>
          <w:b/>
        </w:rPr>
        <w:t>INTRODUCCIÓN</w:t>
      </w:r>
    </w:p>
    <w:p w:rsidR="00202BC4" w:rsidRPr="00246935" w:rsidRDefault="00202BC4" w:rsidP="002011A7">
      <w:pPr>
        <w:spacing w:after="0" w:line="240" w:lineRule="auto"/>
        <w:jc w:val="both"/>
        <w:rPr>
          <w:rFonts w:cstheme="minorHAnsi"/>
        </w:rPr>
      </w:pPr>
      <w:r w:rsidRPr="00246935">
        <w:rPr>
          <w:rFonts w:cstheme="minorHAnsi"/>
        </w:rPr>
        <w:t>El proceso de evaluación de los servidores públicos de la Universidad Laica Eloy Alfaro de Manabí, busca valorar el desempeño y las competencias laborales de todos los servidores en los procesos internos que realiza cada funcionario, mediante la fijación de objetivos, metas e indicadores cuantitativos y cualitativos de gestión. Así como ofrecer a la entidad información útil que permita el mejoramiento continuo y la toma de decisiones gerenciales.</w:t>
      </w:r>
    </w:p>
    <w:p w:rsidR="00202BC4" w:rsidRPr="00246935" w:rsidRDefault="00202BC4" w:rsidP="002011A7">
      <w:pPr>
        <w:spacing w:after="0" w:line="240" w:lineRule="auto"/>
        <w:jc w:val="both"/>
        <w:rPr>
          <w:rFonts w:cstheme="minorHAnsi"/>
        </w:rPr>
      </w:pPr>
    </w:p>
    <w:p w:rsidR="00202BC4" w:rsidRPr="00246935" w:rsidRDefault="00202BC4" w:rsidP="002011A7">
      <w:pPr>
        <w:spacing w:after="0" w:line="240" w:lineRule="auto"/>
        <w:jc w:val="both"/>
        <w:rPr>
          <w:rFonts w:cstheme="minorHAnsi"/>
        </w:rPr>
      </w:pPr>
      <w:r w:rsidRPr="00246935">
        <w:rPr>
          <w:rFonts w:cstheme="minorHAnsi"/>
        </w:rPr>
        <w:t xml:space="preserve">El presente informe, se sustenta con la información generada por </w:t>
      </w:r>
      <w:r w:rsidR="00FD28AB" w:rsidRPr="00246935">
        <w:rPr>
          <w:rFonts w:cstheme="minorHAnsi"/>
          <w:color w:val="808080" w:themeColor="background1" w:themeShade="80"/>
        </w:rPr>
        <w:t>(indicar número de dependencias</w:t>
      </w:r>
      <w:r w:rsidR="00FD28AB" w:rsidRPr="00246935">
        <w:rPr>
          <w:rFonts w:cstheme="minorHAnsi"/>
        </w:rPr>
        <w:t>)</w:t>
      </w:r>
      <w:r w:rsidRPr="00246935">
        <w:rPr>
          <w:rFonts w:cstheme="minorHAnsi"/>
        </w:rPr>
        <w:t xml:space="preserve"> áreas de trabajo, obteniendo a nivel general en toda la institución un </w:t>
      </w:r>
      <w:r w:rsidR="00FD28AB" w:rsidRPr="00246935">
        <w:rPr>
          <w:rFonts w:cstheme="minorHAnsi"/>
          <w:color w:val="808080" w:themeColor="background1" w:themeShade="80"/>
        </w:rPr>
        <w:t xml:space="preserve">(indicar porcentaje obtenido) </w:t>
      </w:r>
      <w:r w:rsidRPr="00246935">
        <w:rPr>
          <w:rFonts w:cstheme="minorHAnsi"/>
          <w:color w:val="808080" w:themeColor="background1" w:themeShade="80"/>
        </w:rPr>
        <w:t xml:space="preserve">% </w:t>
      </w:r>
      <w:r w:rsidRPr="00246935">
        <w:rPr>
          <w:rFonts w:cstheme="minorHAnsi"/>
        </w:rPr>
        <w:t xml:space="preserve">como calificación, porcentaje considerado por el Ministerio de Trabajo de la República de Ecuador como </w:t>
      </w:r>
      <w:r w:rsidRPr="00246935">
        <w:rPr>
          <w:rFonts w:cstheme="minorHAnsi"/>
          <w:color w:val="808080" w:themeColor="background1" w:themeShade="80"/>
        </w:rPr>
        <w:t>MUY BUENO</w:t>
      </w:r>
      <w:r w:rsidRPr="00246935">
        <w:rPr>
          <w:rFonts w:cstheme="minorHAnsi"/>
        </w:rPr>
        <w:t>.</w:t>
      </w:r>
    </w:p>
    <w:p w:rsidR="00FD28AB" w:rsidRPr="00246935" w:rsidRDefault="00FD28AB" w:rsidP="00FD28AB">
      <w:pPr>
        <w:spacing w:after="0" w:line="360" w:lineRule="auto"/>
        <w:jc w:val="both"/>
        <w:rPr>
          <w:rFonts w:cstheme="minorHAnsi"/>
          <w:b/>
        </w:rPr>
      </w:pPr>
    </w:p>
    <w:p w:rsidR="00FD28AB" w:rsidRPr="00354CAC" w:rsidRDefault="00FD28AB" w:rsidP="00354C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354CAC">
        <w:rPr>
          <w:rFonts w:cstheme="minorHAnsi"/>
          <w:b/>
        </w:rPr>
        <w:t>OBJETIVO GENERAL</w:t>
      </w:r>
    </w:p>
    <w:p w:rsidR="00FD28AB" w:rsidRPr="00246935" w:rsidRDefault="00FD28AB" w:rsidP="002011A7">
      <w:pPr>
        <w:spacing w:after="0" w:line="240" w:lineRule="auto"/>
        <w:jc w:val="both"/>
        <w:rPr>
          <w:rFonts w:cstheme="minorHAnsi"/>
        </w:rPr>
      </w:pPr>
      <w:r w:rsidRPr="00246935">
        <w:rPr>
          <w:rFonts w:cstheme="minorHAnsi"/>
        </w:rPr>
        <w:t>Presentar los resultados consolidados de la evaluación del desempeño laboral de los servidores administrativos de la Universidad Laica Eloy Alfaro de Manabí, correspondiente al periodo 20</w:t>
      </w:r>
      <w:r w:rsidRPr="00246935">
        <w:rPr>
          <w:rFonts w:cstheme="minorHAnsi"/>
          <w:color w:val="808080" w:themeColor="background1" w:themeShade="80"/>
        </w:rPr>
        <w:t>XX</w:t>
      </w:r>
      <w:r w:rsidRPr="00246935">
        <w:rPr>
          <w:rFonts w:cstheme="minorHAnsi"/>
        </w:rPr>
        <w:t>.</w:t>
      </w:r>
    </w:p>
    <w:p w:rsidR="00246935" w:rsidRDefault="00246935" w:rsidP="002027F9">
      <w:pPr>
        <w:rPr>
          <w:rFonts w:cstheme="minorHAnsi"/>
          <w:b/>
        </w:rPr>
      </w:pPr>
    </w:p>
    <w:p w:rsidR="002027F9" w:rsidRPr="00354CAC" w:rsidRDefault="002027F9" w:rsidP="00354CAC">
      <w:pPr>
        <w:pStyle w:val="Prrafodelista"/>
        <w:numPr>
          <w:ilvl w:val="0"/>
          <w:numId w:val="4"/>
        </w:numPr>
        <w:rPr>
          <w:rFonts w:cstheme="minorHAnsi"/>
          <w:b/>
        </w:rPr>
      </w:pPr>
      <w:r w:rsidRPr="00354CAC">
        <w:rPr>
          <w:rFonts w:cstheme="minorHAnsi"/>
          <w:b/>
        </w:rPr>
        <w:t>BASE LEGAL:</w:t>
      </w:r>
    </w:p>
    <w:p w:rsidR="002027F9" w:rsidRPr="00246935" w:rsidRDefault="002027F9" w:rsidP="002027F9">
      <w:pPr>
        <w:jc w:val="both"/>
        <w:rPr>
          <w:rFonts w:cstheme="minorHAnsi"/>
          <w:color w:val="808080" w:themeColor="background1" w:themeShade="80"/>
        </w:rPr>
      </w:pPr>
      <w:r w:rsidRPr="00246935">
        <w:rPr>
          <w:rFonts w:cstheme="minorHAnsi"/>
          <w:color w:val="808080" w:themeColor="background1" w:themeShade="80"/>
        </w:rPr>
        <w:t>La Norma Técnica del Subsistema de Evaluación del Desempeño, aprobada mediante Acuerdo Ministerial No. 41, de acuerdo a Registro Oficial 218 señala:</w:t>
      </w:r>
    </w:p>
    <w:p w:rsidR="002027F9" w:rsidRPr="00246935" w:rsidRDefault="002027F9" w:rsidP="002027F9">
      <w:pPr>
        <w:jc w:val="both"/>
        <w:rPr>
          <w:rFonts w:cstheme="minorHAnsi"/>
          <w:color w:val="808080" w:themeColor="background1" w:themeShade="80"/>
        </w:rPr>
      </w:pPr>
      <w:r w:rsidRPr="00246935">
        <w:rPr>
          <w:rFonts w:cstheme="minorHAnsi"/>
          <w:color w:val="808080" w:themeColor="background1" w:themeShade="80"/>
        </w:rPr>
        <w:t>En el Artículo 11, literal d) señala que el proceso de evaluación del desempeño estará integrado por el Informe de Resultados.</w:t>
      </w:r>
    </w:p>
    <w:p w:rsidR="002027F9" w:rsidRPr="00246935" w:rsidRDefault="002027F9" w:rsidP="002027F9">
      <w:pPr>
        <w:jc w:val="both"/>
        <w:rPr>
          <w:rFonts w:cstheme="minorHAnsi"/>
          <w:color w:val="808080" w:themeColor="background1" w:themeShade="80"/>
        </w:rPr>
      </w:pPr>
      <w:r w:rsidRPr="00246935">
        <w:rPr>
          <w:rFonts w:cstheme="minorHAnsi"/>
          <w:color w:val="808080" w:themeColor="background1" w:themeShade="80"/>
        </w:rPr>
        <w:t>Art. 26.- Del informe de resultados. - El desempeño individual será el resultado de la sumatoria de los factores determinados en el artículo 12 de la presente Norma Técnica, con una ponderación máxima del cien por ciento (100%).</w:t>
      </w:r>
    </w:p>
    <w:p w:rsidR="002027F9" w:rsidRPr="00246935" w:rsidRDefault="002027F9" w:rsidP="002027F9">
      <w:pPr>
        <w:jc w:val="both"/>
        <w:rPr>
          <w:rFonts w:cstheme="minorHAnsi"/>
          <w:color w:val="808080" w:themeColor="background1" w:themeShade="80"/>
        </w:rPr>
      </w:pPr>
      <w:r w:rsidRPr="00246935">
        <w:rPr>
          <w:rFonts w:cstheme="minorHAnsi"/>
          <w:color w:val="808080" w:themeColor="background1" w:themeShade="80"/>
        </w:rPr>
        <w:lastRenderedPageBreak/>
        <w:t>Art. 27.- Del informe de resultados para casos particulares.- En caso de que la calificación de la evaluación del desempeño sea de regular o insuficiente, la UATH institucional deberá emitir un informe a la máxima autoridad o su delegado detallando los servidores que han obtenido estas calificaciones a fin de que se proceda con el trámite correspondiente de conformidad a lo establecido en el artículo 80 de la Ley Orgánica del Servicio Público - LOSEP en concordancia con los literales b) y c) del artículo 222 de su Reglamento General, para lo cual dará cumplimiento a los plazos fijados en los mismos. Para llevar a cabo las evaluaciones parciales utilizarán el mismo formato de evaluación que el de periodo de prueba y las metas serán fijadas por el evaluador en los tres primeros días hábiles del periodo a evaluar.</w:t>
      </w:r>
    </w:p>
    <w:p w:rsidR="00FD28AB" w:rsidRPr="00354CAC" w:rsidRDefault="00FD28AB" w:rsidP="00354C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354CAC">
        <w:rPr>
          <w:rFonts w:cstheme="minorHAnsi"/>
          <w:b/>
        </w:rPr>
        <w:t>ANALISIS DE RESULTADOS</w:t>
      </w:r>
    </w:p>
    <w:p w:rsidR="00FD28AB" w:rsidRPr="00354CAC" w:rsidRDefault="00FD28AB" w:rsidP="00354CAC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354CAC">
        <w:rPr>
          <w:rFonts w:cstheme="minorHAnsi"/>
          <w:b/>
        </w:rPr>
        <w:t>Análisis General</w:t>
      </w:r>
    </w:p>
    <w:p w:rsidR="00FD28AB" w:rsidRPr="00246935" w:rsidRDefault="00FD28AB" w:rsidP="00B5445A">
      <w:pPr>
        <w:spacing w:after="0" w:line="240" w:lineRule="auto"/>
        <w:jc w:val="both"/>
        <w:rPr>
          <w:rFonts w:cstheme="minorHAnsi"/>
        </w:rPr>
      </w:pPr>
      <w:r w:rsidRPr="00246935">
        <w:rPr>
          <w:rFonts w:cstheme="minorHAnsi"/>
        </w:rPr>
        <w:t xml:space="preserve">Esta IES cuenta con </w:t>
      </w:r>
      <w:r w:rsidRPr="00246935">
        <w:rPr>
          <w:rFonts w:cstheme="minorHAnsi"/>
          <w:color w:val="808080" w:themeColor="background1" w:themeShade="80"/>
        </w:rPr>
        <w:t>(indicar número de dependencias con que cuenta la Uleam)</w:t>
      </w:r>
      <w:r w:rsidRPr="00246935">
        <w:rPr>
          <w:rFonts w:cstheme="minorHAnsi"/>
        </w:rPr>
        <w:t xml:space="preserve"> áreas de trabajo, entre Unidades Académicas y Administrativas, de las cuales </w:t>
      </w:r>
      <w:r w:rsidRPr="00246935">
        <w:rPr>
          <w:rFonts w:cstheme="minorHAnsi"/>
          <w:color w:val="808080" w:themeColor="background1" w:themeShade="80"/>
        </w:rPr>
        <w:t xml:space="preserve">(indicar número de dependencias que entregaron información) </w:t>
      </w:r>
      <w:r w:rsidRPr="00246935">
        <w:rPr>
          <w:rFonts w:cstheme="minorHAnsi"/>
        </w:rPr>
        <w:t>áreas de trabajo reportaron a este departamento su evaluación de desempeño.  Se adjunta cuadro consolidado de resultados de evaluación del desempeño de las unidades académicas y administrativas.</w:t>
      </w:r>
    </w:p>
    <w:p w:rsidR="00FD28AB" w:rsidRPr="002027F9" w:rsidRDefault="002027F9" w:rsidP="00B5445A">
      <w:pPr>
        <w:spacing w:after="0" w:line="240" w:lineRule="auto"/>
        <w:jc w:val="both"/>
        <w:rPr>
          <w:color w:val="808080" w:themeColor="background1" w:themeShade="80"/>
        </w:rPr>
      </w:pPr>
      <w:r w:rsidRPr="002027F9">
        <w:rPr>
          <w:color w:val="808080" w:themeColor="background1" w:themeShade="80"/>
        </w:rPr>
        <w:t>(Adjunto cuadro consolidado)</w:t>
      </w:r>
    </w:p>
    <w:p w:rsidR="00FD28AB" w:rsidRDefault="00FD28AB" w:rsidP="00FD28AB">
      <w:pPr>
        <w:spacing w:after="0" w:line="360" w:lineRule="auto"/>
        <w:jc w:val="both"/>
      </w:pPr>
    </w:p>
    <w:p w:rsidR="00246935" w:rsidRDefault="00246935" w:rsidP="00246935">
      <w:pPr>
        <w:spacing w:after="0" w:line="360" w:lineRule="auto"/>
        <w:jc w:val="both"/>
      </w:pPr>
      <w:r>
        <w:t xml:space="preserve">El </w:t>
      </w:r>
      <w:r w:rsidRPr="00735E49">
        <w:rPr>
          <w:b/>
        </w:rPr>
        <w:t xml:space="preserve">PROMEDIO GENERAL </w:t>
      </w:r>
      <w:r>
        <w:rPr>
          <w:b/>
        </w:rPr>
        <w:t xml:space="preserve">en toda la institución </w:t>
      </w:r>
      <w:r w:rsidRPr="00735E49">
        <w:rPr>
          <w:b/>
        </w:rPr>
        <w:t>es</w:t>
      </w:r>
      <w:r>
        <w:rPr>
          <w:b/>
        </w:rPr>
        <w:t xml:space="preserve"> </w:t>
      </w:r>
      <w:r w:rsidR="00371E72">
        <w:rPr>
          <w:b/>
        </w:rPr>
        <w:t>de (</w:t>
      </w:r>
      <w:r w:rsidRPr="00246935">
        <w:rPr>
          <w:b/>
          <w:color w:val="808080" w:themeColor="background1" w:themeShade="80"/>
        </w:rPr>
        <w:t xml:space="preserve">indicar porcentaje obtenido) </w:t>
      </w:r>
      <w:r>
        <w:rPr>
          <w:b/>
        </w:rPr>
        <w:t>%</w:t>
      </w:r>
      <w:r>
        <w:t xml:space="preserve"> dando este un resultado de </w:t>
      </w:r>
      <w:r w:rsidRPr="00246935">
        <w:rPr>
          <w:b/>
          <w:color w:val="808080" w:themeColor="background1" w:themeShade="80"/>
        </w:rPr>
        <w:t>MUY BUENO</w:t>
      </w:r>
      <w:r>
        <w:t>, según la siguiente escala publicada por el Ministerio de Trabajo.</w:t>
      </w:r>
    </w:p>
    <w:p w:rsidR="00246935" w:rsidRPr="00246935" w:rsidRDefault="00246935" w:rsidP="00F5676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46935">
        <w:rPr>
          <w:rFonts w:ascii="Times New Roman" w:hAnsi="Times New Roman" w:cs="Times New Roman"/>
          <w:color w:val="808080" w:themeColor="background1" w:themeShade="80"/>
        </w:rPr>
        <w:t>a) Excelente. - Desempeño alto, supera los objetivos y metas programadas, calificación que es igual</w:t>
      </w:r>
      <w:r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246935">
        <w:rPr>
          <w:rFonts w:ascii="Times New Roman" w:hAnsi="Times New Roman" w:cs="Times New Roman"/>
          <w:color w:val="808080" w:themeColor="background1" w:themeShade="80"/>
        </w:rPr>
        <w:t>o superior al 95%;</w:t>
      </w:r>
    </w:p>
    <w:p w:rsidR="00246935" w:rsidRPr="00246935" w:rsidRDefault="00246935" w:rsidP="00F5676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46935">
        <w:rPr>
          <w:rFonts w:ascii="Times New Roman" w:hAnsi="Times New Roman" w:cs="Times New Roman"/>
          <w:color w:val="808080" w:themeColor="background1" w:themeShade="80"/>
        </w:rPr>
        <w:t>b) Muy bueno. - Desempeño esperado, cumple los objetivos y meta</w:t>
      </w:r>
      <w:r>
        <w:rPr>
          <w:rFonts w:ascii="Times New Roman" w:hAnsi="Times New Roman" w:cs="Times New Roman"/>
          <w:color w:val="808080" w:themeColor="background1" w:themeShade="80"/>
        </w:rPr>
        <w:t xml:space="preserve">s programadas, calificación que </w:t>
      </w:r>
      <w:r w:rsidRPr="00246935">
        <w:rPr>
          <w:rFonts w:ascii="Times New Roman" w:hAnsi="Times New Roman" w:cs="Times New Roman"/>
          <w:color w:val="808080" w:themeColor="background1" w:themeShade="80"/>
        </w:rPr>
        <w:t>está comprendida entre el 90% y 94.99%;</w:t>
      </w:r>
    </w:p>
    <w:p w:rsidR="00246935" w:rsidRPr="00246935" w:rsidRDefault="00246935" w:rsidP="00F5676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46935">
        <w:rPr>
          <w:rFonts w:ascii="Times New Roman" w:hAnsi="Times New Roman" w:cs="Times New Roman"/>
          <w:color w:val="808080" w:themeColor="background1" w:themeShade="80"/>
        </w:rPr>
        <w:t>c) Satisfactorio. - Desempeño aceptable, mantiene un nivel de produc</w:t>
      </w:r>
      <w:r>
        <w:rPr>
          <w:rFonts w:ascii="Times New Roman" w:hAnsi="Times New Roman" w:cs="Times New Roman"/>
          <w:color w:val="808080" w:themeColor="background1" w:themeShade="80"/>
        </w:rPr>
        <w:t xml:space="preserve">tividad admisible, calificación </w:t>
      </w:r>
      <w:r w:rsidRPr="00246935">
        <w:rPr>
          <w:rFonts w:ascii="Times New Roman" w:hAnsi="Times New Roman" w:cs="Times New Roman"/>
          <w:color w:val="808080" w:themeColor="background1" w:themeShade="80"/>
        </w:rPr>
        <w:t>que está comprendida entre el 80% y 89.99%;</w:t>
      </w:r>
    </w:p>
    <w:p w:rsidR="00246935" w:rsidRPr="00246935" w:rsidRDefault="00246935" w:rsidP="00F5676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46935">
        <w:rPr>
          <w:rFonts w:ascii="Times New Roman" w:hAnsi="Times New Roman" w:cs="Times New Roman"/>
          <w:color w:val="808080" w:themeColor="background1" w:themeShade="80"/>
        </w:rPr>
        <w:t>d) Regular. - Desempeño bajo lo esperado, los resultados son menores al mínimo aceptable de</w:t>
      </w:r>
      <w:r w:rsidR="00F5676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246935">
        <w:rPr>
          <w:rFonts w:ascii="Times New Roman" w:hAnsi="Times New Roman" w:cs="Times New Roman"/>
          <w:color w:val="808080" w:themeColor="background1" w:themeShade="80"/>
        </w:rPr>
        <w:t>productividad, calificación que está comprendida entre el 70% y 79.99%; y,</w:t>
      </w:r>
    </w:p>
    <w:p w:rsidR="00246935" w:rsidRDefault="00246935" w:rsidP="00F56762">
      <w:pPr>
        <w:spacing w:before="120"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246935">
        <w:rPr>
          <w:rFonts w:ascii="Times New Roman" w:hAnsi="Times New Roman" w:cs="Times New Roman"/>
          <w:color w:val="808080" w:themeColor="background1" w:themeShade="80"/>
        </w:rPr>
        <w:t>e) Insuficiente. - Desempeño muy bajo a lo esperado, su productividad no permite cubrir los</w:t>
      </w:r>
      <w:r w:rsidR="00F5676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246935">
        <w:rPr>
          <w:rFonts w:ascii="Times New Roman" w:hAnsi="Times New Roman" w:cs="Times New Roman"/>
          <w:color w:val="808080" w:themeColor="background1" w:themeShade="80"/>
        </w:rPr>
        <w:t>requerimientos del puesto y de los procesos internos, calificación igual o inferior al 69.99%.</w:t>
      </w:r>
    </w:p>
    <w:p w:rsidR="00F56762" w:rsidRDefault="00F56762" w:rsidP="00F56762">
      <w:pPr>
        <w:spacing w:before="120"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F56762" w:rsidRDefault="00F56762" w:rsidP="00F56762">
      <w:pPr>
        <w:spacing w:after="0" w:line="240" w:lineRule="auto"/>
        <w:jc w:val="both"/>
      </w:pPr>
      <w:r>
        <w:t xml:space="preserve">De las </w:t>
      </w:r>
      <w:r w:rsidRPr="00F56762">
        <w:rPr>
          <w:color w:val="808080" w:themeColor="background1" w:themeShade="80"/>
        </w:rPr>
        <w:t>XX</w:t>
      </w:r>
      <w:r>
        <w:t xml:space="preserve"> unidades evaluadas, el </w:t>
      </w:r>
      <w:r w:rsidRPr="00F56762">
        <w:rPr>
          <w:color w:val="808080" w:themeColor="background1" w:themeShade="80"/>
        </w:rPr>
        <w:t>36.51</w:t>
      </w:r>
      <w:r>
        <w:t xml:space="preserve">% obtuvo una calificación de excelencia, </w:t>
      </w:r>
      <w:r w:rsidRPr="00F56762">
        <w:rPr>
          <w:color w:val="808080" w:themeColor="background1" w:themeShade="80"/>
        </w:rPr>
        <w:t>47.62</w:t>
      </w:r>
      <w:r>
        <w:t xml:space="preserve">% muy bueno y </w:t>
      </w:r>
      <w:r w:rsidRPr="00F56762">
        <w:rPr>
          <w:color w:val="808080" w:themeColor="background1" w:themeShade="80"/>
        </w:rPr>
        <w:t>15.87</w:t>
      </w:r>
      <w:r>
        <w:t xml:space="preserve">% satisfactorio. </w:t>
      </w:r>
    </w:p>
    <w:p w:rsidR="00F56762" w:rsidRDefault="00F56762" w:rsidP="00F56762">
      <w:pPr>
        <w:spacing w:after="0" w:line="240" w:lineRule="auto"/>
        <w:jc w:val="both"/>
      </w:pPr>
    </w:p>
    <w:p w:rsidR="00F56762" w:rsidRDefault="00F56762" w:rsidP="00F56762">
      <w:pPr>
        <w:spacing w:after="0" w:line="240" w:lineRule="auto"/>
        <w:jc w:val="both"/>
        <w:rPr>
          <w:color w:val="808080" w:themeColor="background1" w:themeShade="80"/>
        </w:rPr>
      </w:pPr>
      <w:r>
        <w:t xml:space="preserve">El mayor promedio alcanzado fue de la </w:t>
      </w:r>
      <w:r w:rsidRPr="00F56762">
        <w:rPr>
          <w:color w:val="808080" w:themeColor="background1" w:themeShade="80"/>
        </w:rPr>
        <w:t xml:space="preserve">(indicar unidad académica o administrativa) </w:t>
      </w:r>
      <w:r>
        <w:t xml:space="preserve">con un </w:t>
      </w:r>
      <w:r w:rsidRPr="00F56762">
        <w:rPr>
          <w:color w:val="808080" w:themeColor="background1" w:themeShade="80"/>
        </w:rPr>
        <w:t>99,33</w:t>
      </w:r>
      <w:r>
        <w:t xml:space="preserve">%, y la calificación menor fue de </w:t>
      </w:r>
      <w:r w:rsidRPr="00F56762">
        <w:rPr>
          <w:color w:val="808080" w:themeColor="background1" w:themeShade="80"/>
        </w:rPr>
        <w:t>84,65</w:t>
      </w:r>
      <w:r>
        <w:t xml:space="preserve">% correspondiente a la </w:t>
      </w:r>
      <w:r w:rsidRPr="00F56762">
        <w:rPr>
          <w:color w:val="808080" w:themeColor="background1" w:themeShade="80"/>
        </w:rPr>
        <w:t>((indicar unidad académica o administrativa)</w:t>
      </w:r>
      <w:r>
        <w:rPr>
          <w:color w:val="808080" w:themeColor="background1" w:themeShade="80"/>
        </w:rPr>
        <w:t>.</w:t>
      </w:r>
    </w:p>
    <w:p w:rsidR="00F56762" w:rsidRDefault="00F56762" w:rsidP="00F56762">
      <w:pPr>
        <w:spacing w:after="0" w:line="240" w:lineRule="auto"/>
        <w:jc w:val="both"/>
        <w:rPr>
          <w:color w:val="808080" w:themeColor="background1" w:themeShade="80"/>
        </w:rPr>
      </w:pPr>
    </w:p>
    <w:p w:rsidR="00F56762" w:rsidRPr="00354CAC" w:rsidRDefault="00F56762" w:rsidP="00354CAC">
      <w:pPr>
        <w:pStyle w:val="Prrafodelista"/>
        <w:numPr>
          <w:ilvl w:val="1"/>
          <w:numId w:val="4"/>
        </w:numPr>
        <w:spacing w:after="0" w:line="360" w:lineRule="auto"/>
        <w:jc w:val="both"/>
        <w:rPr>
          <w:b/>
        </w:rPr>
      </w:pPr>
      <w:r w:rsidRPr="00354CAC">
        <w:rPr>
          <w:b/>
        </w:rPr>
        <w:t>Análisis especifico</w:t>
      </w:r>
    </w:p>
    <w:p w:rsidR="00F56762" w:rsidRDefault="00F56762" w:rsidP="00F56762">
      <w:pPr>
        <w:spacing w:after="0" w:line="240" w:lineRule="auto"/>
        <w:jc w:val="both"/>
      </w:pPr>
      <w:r>
        <w:t xml:space="preserve">Teniendo una población de </w:t>
      </w:r>
      <w:r w:rsidRPr="00F56762">
        <w:rPr>
          <w:color w:val="808080" w:themeColor="background1" w:themeShade="80"/>
        </w:rPr>
        <w:t>(número de evaluaciones)</w:t>
      </w:r>
      <w:r>
        <w:t xml:space="preserve"> evaluaciones reportadas por los jefes inmediatos de la Uleam, para un análisis más específico se consideró una muestra de </w:t>
      </w:r>
      <w:r w:rsidRPr="00F56762">
        <w:rPr>
          <w:color w:val="808080" w:themeColor="background1" w:themeShade="80"/>
        </w:rPr>
        <w:t>XXX</w:t>
      </w:r>
      <w:r>
        <w:t>.</w:t>
      </w:r>
    </w:p>
    <w:p w:rsidR="00F56762" w:rsidRDefault="00F56762" w:rsidP="00F56762">
      <w:pPr>
        <w:spacing w:after="0" w:line="240" w:lineRule="auto"/>
        <w:jc w:val="both"/>
      </w:pPr>
    </w:p>
    <w:p w:rsidR="00F56762" w:rsidRDefault="00F56762" w:rsidP="00F56762">
      <w:pPr>
        <w:spacing w:after="0" w:line="360" w:lineRule="auto"/>
        <w:jc w:val="both"/>
      </w:pPr>
      <w:r>
        <w:t xml:space="preserve">En cuanto a cada uno de los factores de evaluación del desempeño, se observó lo siguiente: </w:t>
      </w:r>
    </w:p>
    <w:p w:rsidR="00F56762" w:rsidRDefault="00F56762" w:rsidP="00F56762">
      <w:pPr>
        <w:spacing w:after="0" w:line="24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(C</w:t>
      </w:r>
      <w:r w:rsidRPr="00F56762">
        <w:rPr>
          <w:color w:val="808080" w:themeColor="background1" w:themeShade="80"/>
        </w:rPr>
        <w:t>olocar y detallar cada uno de los factores)</w:t>
      </w:r>
    </w:p>
    <w:p w:rsidR="00F56762" w:rsidRDefault="00F56762" w:rsidP="00F56762">
      <w:pPr>
        <w:spacing w:after="0" w:line="240" w:lineRule="auto"/>
        <w:jc w:val="both"/>
        <w:rPr>
          <w:color w:val="808080" w:themeColor="background1" w:themeShade="80"/>
        </w:rPr>
      </w:pPr>
    </w:p>
    <w:p w:rsidR="00354CAC" w:rsidRPr="00354CAC" w:rsidRDefault="00354CAC" w:rsidP="00354CA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color w:val="808080" w:themeColor="background1" w:themeShade="80"/>
        </w:rPr>
      </w:pPr>
      <w:r w:rsidRPr="00354CAC">
        <w:rPr>
          <w:b/>
        </w:rPr>
        <w:t xml:space="preserve">Análisis de calificaciones regulares e insuficientes: </w:t>
      </w:r>
      <w:r w:rsidRPr="00354CAC">
        <w:rPr>
          <w:color w:val="808080" w:themeColor="background1" w:themeShade="80"/>
        </w:rPr>
        <w:t>(Dirección de Talento Humano indicará información referente a calificaciones regulares o insuficientes de acuerdo a normativa vigente).</w:t>
      </w:r>
    </w:p>
    <w:p w:rsidR="00354CAC" w:rsidRDefault="00354CAC" w:rsidP="00F56762">
      <w:pPr>
        <w:spacing w:after="0" w:line="240" w:lineRule="auto"/>
        <w:jc w:val="both"/>
        <w:rPr>
          <w:b/>
        </w:rPr>
      </w:pPr>
    </w:p>
    <w:p w:rsidR="00354CAC" w:rsidRDefault="00F56762" w:rsidP="00354CA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354CAC">
        <w:rPr>
          <w:b/>
        </w:rPr>
        <w:t>CONCLUSI</w:t>
      </w:r>
      <w:r w:rsidR="00B5445A" w:rsidRPr="00354CAC">
        <w:rPr>
          <w:b/>
        </w:rPr>
        <w:t>O</w:t>
      </w:r>
      <w:r w:rsidRPr="00354CAC">
        <w:rPr>
          <w:b/>
        </w:rPr>
        <w:t>NES Y RECOMENDACIONES:</w:t>
      </w:r>
    </w:p>
    <w:p w:rsidR="00354CAC" w:rsidRPr="00354CAC" w:rsidRDefault="00354CAC" w:rsidP="00354CAC">
      <w:pPr>
        <w:pStyle w:val="Prrafodelista"/>
        <w:spacing w:after="0" w:line="240" w:lineRule="auto"/>
        <w:jc w:val="both"/>
        <w:rPr>
          <w:b/>
        </w:rPr>
      </w:pPr>
    </w:p>
    <w:p w:rsidR="00354CAC" w:rsidRDefault="00B5445A" w:rsidP="00B5445A">
      <w:pPr>
        <w:spacing w:after="0" w:line="240" w:lineRule="auto"/>
        <w:jc w:val="both"/>
      </w:pPr>
      <w:r>
        <w:t xml:space="preserve">Al analizar los resultados obtenidos en las evaluaciones realizadas en Universidad Laica Eloy Alfaro de Manabí se </w:t>
      </w:r>
      <w:r w:rsidR="00354CAC">
        <w:t>concluye lo siguiente:</w:t>
      </w:r>
    </w:p>
    <w:p w:rsidR="00354CAC" w:rsidRDefault="00354CAC" w:rsidP="00354CAC">
      <w:pPr>
        <w:pStyle w:val="Prrafodelista"/>
        <w:numPr>
          <w:ilvl w:val="0"/>
          <w:numId w:val="5"/>
        </w:numPr>
        <w:spacing w:after="0" w:line="240" w:lineRule="auto"/>
        <w:jc w:val="both"/>
      </w:pPr>
    </w:p>
    <w:p w:rsidR="00354CAC" w:rsidRDefault="00354CAC" w:rsidP="00B5445A">
      <w:pPr>
        <w:spacing w:after="0" w:line="240" w:lineRule="auto"/>
        <w:jc w:val="both"/>
      </w:pPr>
    </w:p>
    <w:p w:rsidR="00B5445A" w:rsidRDefault="00354CAC" w:rsidP="00B5445A">
      <w:pPr>
        <w:spacing w:after="0" w:line="240" w:lineRule="auto"/>
        <w:jc w:val="both"/>
      </w:pPr>
      <w:r>
        <w:t xml:space="preserve">De acuerdo a los resultados obtenidos en las evaluaciones realizadas en las diferentes áreas de la Universidad Laica Eloy Alfaro de Manabí se </w:t>
      </w:r>
      <w:r w:rsidR="00B5445A">
        <w:t>encuentra que se ubica en un nivel MUY BUENO, sin embargo, se recomienda lo siguiente:</w:t>
      </w:r>
    </w:p>
    <w:p w:rsidR="00354CAC" w:rsidRDefault="00354CAC" w:rsidP="00354CAC">
      <w:pPr>
        <w:pStyle w:val="Prrafodelista"/>
        <w:numPr>
          <w:ilvl w:val="0"/>
          <w:numId w:val="5"/>
        </w:numPr>
        <w:spacing w:after="0" w:line="240" w:lineRule="auto"/>
        <w:jc w:val="both"/>
      </w:pPr>
    </w:p>
    <w:p w:rsidR="00B5445A" w:rsidRDefault="00B5445A" w:rsidP="00354CAC">
      <w:pPr>
        <w:pStyle w:val="Prrafodelista"/>
        <w:spacing w:after="0" w:line="360" w:lineRule="auto"/>
        <w:ind w:left="1440"/>
        <w:jc w:val="both"/>
      </w:pPr>
    </w:p>
    <w:p w:rsidR="00B5445A" w:rsidRDefault="00B5445A" w:rsidP="00B5445A">
      <w:pPr>
        <w:spacing w:after="0" w:line="360" w:lineRule="auto"/>
        <w:jc w:val="both"/>
      </w:pPr>
    </w:p>
    <w:p w:rsidR="00B5445A" w:rsidRPr="00B5445A" w:rsidRDefault="00B5445A" w:rsidP="00B5445A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s-EC"/>
        </w:rPr>
      </w:pPr>
      <w:r w:rsidRPr="00B5445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s-EC"/>
        </w:rPr>
        <w:t>Psic. Gerardo Villacreses Álvarez, Mg.</w:t>
      </w:r>
    </w:p>
    <w:p w:rsidR="00B5445A" w:rsidRDefault="00B5445A" w:rsidP="00B5445A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Director de Administración del</w:t>
      </w:r>
    </w:p>
    <w:p w:rsidR="00B5445A" w:rsidRDefault="00B5445A" w:rsidP="00B5445A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sz w:val="24"/>
          <w:szCs w:val="24"/>
          <w:lang w:eastAsia="es-EC"/>
        </w:rPr>
        <w:t>Talento Humano-ULEAM</w:t>
      </w:r>
    </w:p>
    <w:p w:rsidR="00B5445A" w:rsidRDefault="00B5445A" w:rsidP="00B5445A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F56762" w:rsidRPr="00F56762" w:rsidRDefault="00F56762" w:rsidP="00F56762">
      <w:pPr>
        <w:spacing w:after="0" w:line="240" w:lineRule="auto"/>
        <w:jc w:val="both"/>
        <w:rPr>
          <w:color w:val="808080" w:themeColor="background1" w:themeShade="80"/>
        </w:rPr>
      </w:pPr>
    </w:p>
    <w:p w:rsidR="00F56762" w:rsidRDefault="00F56762" w:rsidP="00F5676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sectPr w:rsidR="00F56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00" w:rsidRDefault="002F5700" w:rsidP="00D973EA">
      <w:pPr>
        <w:spacing w:after="0" w:line="240" w:lineRule="auto"/>
      </w:pPr>
      <w:r>
        <w:separator/>
      </w:r>
    </w:p>
  </w:endnote>
  <w:endnote w:type="continuationSeparator" w:id="0">
    <w:p w:rsidR="002F5700" w:rsidRDefault="002F5700" w:rsidP="00D9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8" w:rsidRDefault="00C06F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8" w:rsidRDefault="00C06F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8" w:rsidRDefault="00C06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00" w:rsidRDefault="002F5700" w:rsidP="00D973EA">
      <w:pPr>
        <w:spacing w:after="0" w:line="240" w:lineRule="auto"/>
      </w:pPr>
      <w:r>
        <w:separator/>
      </w:r>
    </w:p>
  </w:footnote>
  <w:footnote w:type="continuationSeparator" w:id="0">
    <w:p w:rsidR="002F5700" w:rsidRDefault="002F5700" w:rsidP="00D9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8" w:rsidRDefault="00C06F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D973EA" w:rsidRPr="00D706CC" w:rsidTr="00B7683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D973EA" w:rsidRPr="00D706CC" w:rsidRDefault="00D973EA" w:rsidP="00D973EA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3A3B5B5" wp14:editId="7A7EAE9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lang w:eastAsia="ar-SA"/>
            </w:rPr>
            <w:t>2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D973EA" w:rsidRPr="0083566E" w:rsidRDefault="00C06F88" w:rsidP="00D973EA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PHD-02-F-004</w:t>
          </w:r>
        </w:p>
      </w:tc>
    </w:tr>
    <w:tr w:rsidR="00D973EA" w:rsidRPr="00D706CC" w:rsidTr="00B7683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973EA" w:rsidRPr="00D706CC" w:rsidRDefault="00D973EA" w:rsidP="00D973EA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INFORME DE RESULTADOS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D973EA" w:rsidRPr="00D706CC" w:rsidTr="00B7683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973EA" w:rsidRPr="00D706CC" w:rsidRDefault="00D973EA" w:rsidP="00D973EA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EVALUACIÓN DEL DESEMPEÑO PARA EL PERSONAL ADMINISTRATIVO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D973EA" w:rsidRPr="00D706CC" w:rsidTr="00B7683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973EA" w:rsidRPr="00D706CC" w:rsidRDefault="00D973EA" w:rsidP="00D973EA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D973EA" w:rsidRPr="0083566E" w:rsidRDefault="00D973EA" w:rsidP="00D973E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EA199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EA199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D973EA" w:rsidRDefault="00D973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8" w:rsidRDefault="00C06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4AA"/>
    <w:multiLevelType w:val="hybridMultilevel"/>
    <w:tmpl w:val="638210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1CAC"/>
    <w:multiLevelType w:val="hybridMultilevel"/>
    <w:tmpl w:val="63841EA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D2163"/>
    <w:multiLevelType w:val="multilevel"/>
    <w:tmpl w:val="23164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43819"/>
    <w:multiLevelType w:val="hybridMultilevel"/>
    <w:tmpl w:val="8702BB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377E4"/>
    <w:multiLevelType w:val="hybridMultilevel"/>
    <w:tmpl w:val="262CE7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EA"/>
    <w:rsid w:val="000770CA"/>
    <w:rsid w:val="00096CFE"/>
    <w:rsid w:val="002011A7"/>
    <w:rsid w:val="002027F9"/>
    <w:rsid w:val="00202BC4"/>
    <w:rsid w:val="00212475"/>
    <w:rsid w:val="00246935"/>
    <w:rsid w:val="002F5700"/>
    <w:rsid w:val="00354CAC"/>
    <w:rsid w:val="00371E72"/>
    <w:rsid w:val="00B5445A"/>
    <w:rsid w:val="00C06F88"/>
    <w:rsid w:val="00D023DC"/>
    <w:rsid w:val="00D973EA"/>
    <w:rsid w:val="00EA199B"/>
    <w:rsid w:val="00F56762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44AA-87F8-4D59-B438-76740B33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EA"/>
  </w:style>
  <w:style w:type="paragraph" w:styleId="Piedepgina">
    <w:name w:val="footer"/>
    <w:basedOn w:val="Normal"/>
    <w:link w:val="PiedepginaCar"/>
    <w:uiPriority w:val="99"/>
    <w:unhideWhenUsed/>
    <w:rsid w:val="00D97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3EA"/>
  </w:style>
  <w:style w:type="table" w:styleId="Tablaconcuadrcula">
    <w:name w:val="Table Grid"/>
    <w:basedOn w:val="Tablanormal"/>
    <w:uiPriority w:val="59"/>
    <w:rsid w:val="00D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973EA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973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3EA"/>
  </w:style>
  <w:style w:type="paragraph" w:styleId="Textonotapie">
    <w:name w:val="footnote text"/>
    <w:basedOn w:val="Normal"/>
    <w:link w:val="TextonotapieCar"/>
    <w:uiPriority w:val="99"/>
    <w:semiHidden/>
    <w:unhideWhenUsed/>
    <w:rsid w:val="00202B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2B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2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7E358-99C4-4D59-8927-34DA4A04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8289-E5BA-4CAD-8509-9007E00C4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DB6D-81A1-452F-98C1-D3F5E47C3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2020-09-08T20:22:00Z</dcterms:created>
  <dcterms:modified xsi:type="dcterms:W3CDTF">2020-09-08T20:22:00Z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