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4C20" w14:textId="77777777" w:rsidR="00A322D7" w:rsidRDefault="00A322D7" w:rsidP="00C818C2">
      <w:pPr>
        <w:tabs>
          <w:tab w:val="left" w:pos="142"/>
        </w:tabs>
        <w:spacing w:after="0" w:line="240" w:lineRule="auto"/>
        <w:ind w:right="0" w:firstLine="0"/>
        <w:jc w:val="center"/>
        <w:rPr>
          <w:rFonts w:ascii="Arial" w:hAnsi="Arial" w:cs="Arial"/>
          <w:b/>
          <w:sz w:val="22"/>
        </w:rPr>
      </w:pPr>
    </w:p>
    <w:p w14:paraId="65642045" w14:textId="174D280E" w:rsidR="00937EAA" w:rsidRPr="00A322D7" w:rsidRDefault="00011C29" w:rsidP="00C818C2">
      <w:pPr>
        <w:tabs>
          <w:tab w:val="left" w:pos="142"/>
        </w:tabs>
        <w:spacing w:after="0" w:line="240" w:lineRule="auto"/>
        <w:ind w:righ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DIRECCIÓN DE</w:t>
      </w:r>
      <w:r w:rsidR="00D5252E" w:rsidRPr="00A322D7">
        <w:rPr>
          <w:rFonts w:ascii="Arial" w:hAnsi="Arial" w:cs="Arial"/>
          <w:b/>
          <w:sz w:val="22"/>
        </w:rPr>
        <w:t xml:space="preserve"> ADMINISTRA</w:t>
      </w:r>
      <w:r>
        <w:rPr>
          <w:rFonts w:ascii="Arial" w:hAnsi="Arial" w:cs="Arial"/>
          <w:b/>
          <w:sz w:val="22"/>
        </w:rPr>
        <w:t xml:space="preserve">CIÓN </w:t>
      </w:r>
      <w:r w:rsidR="00D5252E" w:rsidRPr="00A322D7">
        <w:rPr>
          <w:rFonts w:ascii="Arial" w:hAnsi="Arial" w:cs="Arial"/>
          <w:b/>
          <w:sz w:val="22"/>
        </w:rPr>
        <w:t>DE TALENTO HUMANO</w:t>
      </w:r>
    </w:p>
    <w:p w14:paraId="4D36DD31" w14:textId="77777777" w:rsidR="00536BD4" w:rsidRDefault="00536BD4" w:rsidP="00C818C2">
      <w:pPr>
        <w:tabs>
          <w:tab w:val="left" w:pos="142"/>
        </w:tabs>
        <w:spacing w:after="0" w:line="240" w:lineRule="auto"/>
        <w:ind w:right="0" w:firstLine="0"/>
        <w:jc w:val="center"/>
        <w:rPr>
          <w:rFonts w:ascii="Arial" w:hAnsi="Arial" w:cs="Arial"/>
          <w:b/>
          <w:sz w:val="22"/>
        </w:rPr>
      </w:pPr>
    </w:p>
    <w:p w14:paraId="784DB119" w14:textId="1B31D4B6" w:rsidR="00937EAA" w:rsidRPr="00A322D7" w:rsidRDefault="00D5252E" w:rsidP="00C818C2">
      <w:pPr>
        <w:tabs>
          <w:tab w:val="left" w:pos="142"/>
        </w:tabs>
        <w:spacing w:after="0" w:line="240" w:lineRule="auto"/>
        <w:ind w:right="0" w:firstLine="0"/>
        <w:jc w:val="center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t xml:space="preserve">Informe Técnico No. </w:t>
      </w:r>
      <w:r w:rsidR="001530B1" w:rsidRPr="00AF667A">
        <w:rPr>
          <w:rFonts w:ascii="Arial" w:hAnsi="Arial" w:cs="Arial"/>
          <w:b/>
          <w:color w:val="A6A6A6" w:themeColor="background1" w:themeShade="A6"/>
          <w:sz w:val="22"/>
        </w:rPr>
        <w:t>001</w:t>
      </w:r>
      <w:r w:rsidRPr="00A322D7">
        <w:rPr>
          <w:rFonts w:ascii="Arial" w:hAnsi="Arial" w:cs="Arial"/>
          <w:b/>
          <w:sz w:val="22"/>
        </w:rPr>
        <w:t>-DATH-</w:t>
      </w:r>
      <w:r w:rsidR="00AB44A9" w:rsidRPr="00A322D7">
        <w:rPr>
          <w:rFonts w:ascii="Arial" w:hAnsi="Arial" w:cs="Arial"/>
          <w:b/>
          <w:sz w:val="22"/>
        </w:rPr>
        <w:t>ULEAM</w:t>
      </w:r>
      <w:r w:rsidRPr="00A322D7">
        <w:rPr>
          <w:rFonts w:ascii="Arial" w:hAnsi="Arial" w:cs="Arial"/>
          <w:b/>
          <w:sz w:val="22"/>
        </w:rPr>
        <w:t>-20</w:t>
      </w:r>
      <w:r w:rsidR="00EB7E22">
        <w:rPr>
          <w:rFonts w:ascii="Arial" w:hAnsi="Arial" w:cs="Arial"/>
          <w:b/>
          <w:sz w:val="22"/>
        </w:rPr>
        <w:t>2</w:t>
      </w:r>
      <w:r w:rsidR="00AB44A9" w:rsidRPr="00AB44A9">
        <w:rPr>
          <w:rFonts w:ascii="Arial" w:hAnsi="Arial" w:cs="Arial"/>
          <w:b/>
          <w:color w:val="A6A6A6" w:themeColor="background1" w:themeShade="A6"/>
          <w:sz w:val="22"/>
        </w:rPr>
        <w:t>2</w:t>
      </w:r>
      <w:r w:rsidR="00937EAA" w:rsidRPr="00AB44A9">
        <w:rPr>
          <w:rFonts w:ascii="Arial" w:hAnsi="Arial" w:cs="Arial"/>
          <w:b/>
          <w:color w:val="A6A6A6" w:themeColor="background1" w:themeShade="A6"/>
          <w:sz w:val="22"/>
        </w:rPr>
        <w:t xml:space="preserve"> </w:t>
      </w:r>
    </w:p>
    <w:p w14:paraId="578FF162" w14:textId="672BD87A" w:rsidR="00937EAA" w:rsidRDefault="00937EAA" w:rsidP="00C818C2">
      <w:pPr>
        <w:tabs>
          <w:tab w:val="left" w:pos="142"/>
        </w:tabs>
        <w:spacing w:after="0" w:line="240" w:lineRule="auto"/>
        <w:ind w:right="0" w:firstLine="0"/>
        <w:jc w:val="left"/>
        <w:rPr>
          <w:rFonts w:ascii="Arial" w:hAnsi="Arial" w:cs="Arial"/>
          <w:sz w:val="22"/>
        </w:rPr>
      </w:pPr>
    </w:p>
    <w:p w14:paraId="502F17B4" w14:textId="68C0E391" w:rsidR="00516D67" w:rsidRPr="00516D67" w:rsidRDefault="00516D67" w:rsidP="00516D67">
      <w:pPr>
        <w:tabs>
          <w:tab w:val="left" w:pos="142"/>
        </w:tabs>
        <w:spacing w:after="0" w:line="240" w:lineRule="auto"/>
        <w:ind w:right="0" w:firstLine="0"/>
        <w:jc w:val="right"/>
        <w:rPr>
          <w:rFonts w:ascii="Arial" w:hAnsi="Arial" w:cs="Arial"/>
          <w:color w:val="A6A6A6" w:themeColor="background1" w:themeShade="A6"/>
          <w:sz w:val="22"/>
        </w:rPr>
      </w:pPr>
      <w:r w:rsidRPr="00516D67">
        <w:rPr>
          <w:rFonts w:ascii="Arial" w:hAnsi="Arial" w:cs="Arial"/>
          <w:color w:val="A6A6A6" w:themeColor="background1" w:themeShade="A6"/>
          <w:sz w:val="22"/>
        </w:rPr>
        <w:t>Manta, 20 de agosto de 2022</w:t>
      </w:r>
    </w:p>
    <w:p w14:paraId="181CA4CD" w14:textId="1DEB1634" w:rsidR="00516D67" w:rsidRDefault="00516D67" w:rsidP="00C818C2">
      <w:pPr>
        <w:tabs>
          <w:tab w:val="left" w:pos="142"/>
        </w:tabs>
        <w:spacing w:after="0" w:line="240" w:lineRule="auto"/>
        <w:ind w:right="0" w:firstLine="0"/>
        <w:jc w:val="left"/>
        <w:rPr>
          <w:rFonts w:ascii="Arial" w:hAnsi="Arial" w:cs="Arial"/>
          <w:sz w:val="22"/>
        </w:rPr>
      </w:pPr>
    </w:p>
    <w:p w14:paraId="5EBF988A" w14:textId="77777777" w:rsidR="00516D67" w:rsidRPr="00A322D7" w:rsidRDefault="00516D67" w:rsidP="00C818C2">
      <w:pPr>
        <w:tabs>
          <w:tab w:val="left" w:pos="142"/>
        </w:tabs>
        <w:spacing w:after="0" w:line="240" w:lineRule="auto"/>
        <w:ind w:right="0" w:firstLine="0"/>
        <w:jc w:val="left"/>
        <w:rPr>
          <w:rFonts w:ascii="Arial" w:hAnsi="Arial" w:cs="Arial"/>
          <w:sz w:val="22"/>
        </w:rPr>
      </w:pPr>
    </w:p>
    <w:p w14:paraId="482C2C9F" w14:textId="4274AC7C" w:rsidR="00937EAA" w:rsidRPr="00A322D7" w:rsidRDefault="00F526C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  <w:r w:rsidRPr="00A322D7">
        <w:rPr>
          <w:rFonts w:ascii="Arial" w:hAnsi="Arial" w:cs="Arial"/>
          <w:sz w:val="22"/>
        </w:rPr>
        <w:t xml:space="preserve">En el marco de la normativa vigente, la </w:t>
      </w:r>
      <w:r w:rsidR="001965F7">
        <w:rPr>
          <w:rFonts w:ascii="Arial" w:hAnsi="Arial" w:cs="Arial"/>
          <w:sz w:val="22"/>
        </w:rPr>
        <w:t xml:space="preserve">Dirección de </w:t>
      </w:r>
      <w:r w:rsidRPr="00A322D7">
        <w:rPr>
          <w:rFonts w:ascii="Arial" w:hAnsi="Arial" w:cs="Arial"/>
          <w:sz w:val="22"/>
        </w:rPr>
        <w:t>Administra</w:t>
      </w:r>
      <w:r w:rsidR="001965F7">
        <w:rPr>
          <w:rFonts w:ascii="Arial" w:hAnsi="Arial" w:cs="Arial"/>
          <w:sz w:val="22"/>
        </w:rPr>
        <w:t xml:space="preserve">ción </w:t>
      </w:r>
      <w:r w:rsidRPr="00A322D7">
        <w:rPr>
          <w:rFonts w:ascii="Arial" w:hAnsi="Arial" w:cs="Arial"/>
          <w:sz w:val="22"/>
        </w:rPr>
        <w:t>de</w:t>
      </w:r>
      <w:r w:rsidR="001965F7">
        <w:rPr>
          <w:rFonts w:ascii="Arial" w:hAnsi="Arial" w:cs="Arial"/>
          <w:sz w:val="22"/>
        </w:rPr>
        <w:t>l</w:t>
      </w:r>
      <w:r w:rsidRPr="00A322D7">
        <w:rPr>
          <w:rFonts w:ascii="Arial" w:hAnsi="Arial" w:cs="Arial"/>
          <w:sz w:val="22"/>
        </w:rPr>
        <w:t xml:space="preserve"> Talento Humano, emite el siguiente informe técnico, previo al </w:t>
      </w:r>
      <w:r w:rsidR="00BD2F9E" w:rsidRPr="00BD2F9E">
        <w:rPr>
          <w:rFonts w:ascii="Arial" w:hAnsi="Arial" w:cs="Arial"/>
          <w:sz w:val="22"/>
        </w:rPr>
        <w:t>traslado</w:t>
      </w:r>
      <w:r w:rsidRPr="00A322D7">
        <w:rPr>
          <w:rFonts w:ascii="Arial" w:hAnsi="Arial" w:cs="Arial"/>
          <w:sz w:val="22"/>
        </w:rPr>
        <w:t xml:space="preserve"> interno </w:t>
      </w:r>
      <w:r w:rsidR="00D5252E" w:rsidRPr="00A322D7">
        <w:rPr>
          <w:rFonts w:ascii="Arial" w:hAnsi="Arial" w:cs="Arial"/>
          <w:sz w:val="22"/>
        </w:rPr>
        <w:t>de</w:t>
      </w:r>
      <w:r w:rsidRPr="00A322D7">
        <w:rPr>
          <w:rFonts w:ascii="Arial" w:hAnsi="Arial" w:cs="Arial"/>
          <w:sz w:val="22"/>
        </w:rPr>
        <w:t xml:space="preserve"> un</w:t>
      </w:r>
      <w:r w:rsidR="00D5252E" w:rsidRPr="00A322D7">
        <w:rPr>
          <w:rFonts w:ascii="Arial" w:hAnsi="Arial" w:cs="Arial"/>
          <w:sz w:val="22"/>
        </w:rPr>
        <w:t xml:space="preserve"> </w:t>
      </w:r>
      <w:r w:rsidRPr="00A322D7">
        <w:rPr>
          <w:rFonts w:ascii="Arial" w:hAnsi="Arial" w:cs="Arial"/>
          <w:sz w:val="22"/>
        </w:rPr>
        <w:t>d</w:t>
      </w:r>
      <w:r w:rsidR="00D5252E" w:rsidRPr="00A322D7">
        <w:rPr>
          <w:rFonts w:ascii="Arial" w:hAnsi="Arial" w:cs="Arial"/>
          <w:sz w:val="22"/>
        </w:rPr>
        <w:t>ocente</w:t>
      </w:r>
      <w:r w:rsidR="0003089C">
        <w:rPr>
          <w:rFonts w:ascii="Arial" w:hAnsi="Arial" w:cs="Arial"/>
          <w:sz w:val="22"/>
        </w:rPr>
        <w:t xml:space="preserve"> universitario </w:t>
      </w:r>
      <w:r w:rsidR="0003089C" w:rsidRPr="00A322D7">
        <w:rPr>
          <w:rFonts w:ascii="Arial" w:hAnsi="Arial" w:cs="Arial"/>
          <w:sz w:val="22"/>
        </w:rPr>
        <w:t>desde</w:t>
      </w:r>
      <w:r w:rsidR="0003089C">
        <w:rPr>
          <w:rFonts w:ascii="Arial" w:hAnsi="Arial" w:cs="Arial"/>
          <w:sz w:val="22"/>
        </w:rPr>
        <w:t xml:space="preserve"> </w:t>
      </w:r>
      <w:r w:rsidRPr="0003089C">
        <w:rPr>
          <w:rFonts w:ascii="Arial" w:hAnsi="Arial" w:cs="Arial"/>
          <w:color w:val="A6A6A6" w:themeColor="background1" w:themeShade="A6"/>
          <w:sz w:val="22"/>
        </w:rPr>
        <w:t>F</w:t>
      </w:r>
      <w:r w:rsidR="00D5252E" w:rsidRPr="0003089C">
        <w:rPr>
          <w:rFonts w:ascii="Arial" w:hAnsi="Arial" w:cs="Arial"/>
          <w:color w:val="A6A6A6" w:themeColor="background1" w:themeShade="A6"/>
          <w:sz w:val="22"/>
        </w:rPr>
        <w:t>acultad/Extensión</w:t>
      </w:r>
      <w:r w:rsidR="0003089C">
        <w:rPr>
          <w:rFonts w:ascii="Arial" w:hAnsi="Arial" w:cs="Arial"/>
          <w:color w:val="A6A6A6" w:themeColor="background1" w:themeShade="A6"/>
          <w:sz w:val="22"/>
        </w:rPr>
        <w:t xml:space="preserve"> </w:t>
      </w:r>
      <w:r w:rsidR="0003089C">
        <w:rPr>
          <w:rFonts w:ascii="Arial" w:hAnsi="Arial" w:cs="Arial"/>
          <w:sz w:val="22"/>
        </w:rPr>
        <w:t>de</w:t>
      </w:r>
      <w:r w:rsidR="00D5252E" w:rsidRPr="00A322D7">
        <w:rPr>
          <w:rFonts w:ascii="Arial" w:hAnsi="Arial" w:cs="Arial"/>
          <w:sz w:val="22"/>
        </w:rPr>
        <w:t xml:space="preserve"> </w:t>
      </w:r>
      <w:r w:rsidR="0003089C" w:rsidRPr="0003089C">
        <w:rPr>
          <w:rFonts w:ascii="Arial" w:hAnsi="Arial" w:cs="Arial"/>
          <w:color w:val="A6A6A6" w:themeColor="background1" w:themeShade="A6"/>
          <w:sz w:val="22"/>
        </w:rPr>
        <w:t xml:space="preserve">Ciencias </w:t>
      </w:r>
      <w:r w:rsidR="00D4440C">
        <w:rPr>
          <w:rFonts w:ascii="Arial" w:hAnsi="Arial" w:cs="Arial"/>
          <w:color w:val="A6A6A6" w:themeColor="background1" w:themeShade="A6"/>
          <w:sz w:val="22"/>
        </w:rPr>
        <w:t>Informáticas</w:t>
      </w:r>
      <w:r w:rsidR="00D5252E" w:rsidRPr="00A322D7">
        <w:rPr>
          <w:rFonts w:ascii="Arial" w:hAnsi="Arial" w:cs="Arial"/>
          <w:sz w:val="22"/>
        </w:rPr>
        <w:t>, hacia la</w:t>
      </w:r>
      <w:r w:rsidRPr="00A322D7">
        <w:rPr>
          <w:rFonts w:ascii="Arial" w:hAnsi="Arial" w:cs="Arial"/>
          <w:sz w:val="22"/>
        </w:rPr>
        <w:t xml:space="preserve"> </w:t>
      </w:r>
      <w:r w:rsidRPr="0003089C">
        <w:rPr>
          <w:rFonts w:ascii="Arial" w:hAnsi="Arial" w:cs="Arial"/>
          <w:color w:val="A6A6A6" w:themeColor="background1" w:themeShade="A6"/>
          <w:sz w:val="22"/>
        </w:rPr>
        <w:t xml:space="preserve">Facultad/Extensión </w:t>
      </w:r>
      <w:r w:rsidR="0003089C">
        <w:rPr>
          <w:rFonts w:ascii="Arial" w:hAnsi="Arial" w:cs="Arial"/>
          <w:sz w:val="22"/>
        </w:rPr>
        <w:t xml:space="preserve">de </w:t>
      </w:r>
      <w:r w:rsidR="0003089C" w:rsidRPr="0003089C">
        <w:rPr>
          <w:rFonts w:ascii="Arial" w:hAnsi="Arial" w:cs="Arial"/>
          <w:color w:val="A6A6A6" w:themeColor="background1" w:themeShade="A6"/>
          <w:sz w:val="22"/>
        </w:rPr>
        <w:t xml:space="preserve">Ciencias de la Comunicación </w:t>
      </w:r>
      <w:r w:rsidR="00D5252E" w:rsidRPr="00A322D7">
        <w:rPr>
          <w:rFonts w:ascii="Arial" w:hAnsi="Arial" w:cs="Arial"/>
          <w:sz w:val="22"/>
        </w:rPr>
        <w:t>para el periodo 20</w:t>
      </w:r>
      <w:r w:rsidR="0003089C">
        <w:rPr>
          <w:rFonts w:ascii="Arial" w:hAnsi="Arial" w:cs="Arial"/>
          <w:sz w:val="22"/>
        </w:rPr>
        <w:t>2</w:t>
      </w:r>
      <w:r w:rsidR="0003089C" w:rsidRPr="0003089C">
        <w:rPr>
          <w:rFonts w:ascii="Arial" w:hAnsi="Arial" w:cs="Arial"/>
          <w:color w:val="A6A6A6" w:themeColor="background1" w:themeShade="A6"/>
          <w:sz w:val="22"/>
        </w:rPr>
        <w:t xml:space="preserve">2 </w:t>
      </w:r>
      <w:r w:rsidR="00D5252E" w:rsidRPr="0003089C">
        <w:rPr>
          <w:rFonts w:ascii="Arial" w:hAnsi="Arial" w:cs="Arial"/>
          <w:color w:val="A6A6A6" w:themeColor="background1" w:themeShade="A6"/>
          <w:sz w:val="22"/>
        </w:rPr>
        <w:t>(</w:t>
      </w:r>
      <w:r w:rsidR="0003089C" w:rsidRPr="0003089C">
        <w:rPr>
          <w:rFonts w:ascii="Arial" w:hAnsi="Arial" w:cs="Arial"/>
          <w:color w:val="A6A6A6" w:themeColor="background1" w:themeShade="A6"/>
          <w:sz w:val="22"/>
        </w:rPr>
        <w:t>1</w:t>
      </w:r>
      <w:r w:rsidR="00D5252E" w:rsidRPr="0003089C">
        <w:rPr>
          <w:rFonts w:ascii="Arial" w:hAnsi="Arial" w:cs="Arial"/>
          <w:color w:val="A6A6A6" w:themeColor="background1" w:themeShade="A6"/>
          <w:sz w:val="22"/>
        </w:rPr>
        <w:t>)</w:t>
      </w:r>
      <w:r w:rsidR="0003089C" w:rsidRPr="0003089C">
        <w:rPr>
          <w:rFonts w:ascii="Arial" w:hAnsi="Arial" w:cs="Arial"/>
          <w:color w:val="A6A6A6" w:themeColor="background1" w:themeShade="A6"/>
          <w:sz w:val="22"/>
        </w:rPr>
        <w:t>.</w:t>
      </w:r>
    </w:p>
    <w:p w14:paraId="61B89871" w14:textId="77777777" w:rsidR="00937EAA" w:rsidRPr="00A322D7" w:rsidRDefault="00937EAA" w:rsidP="00C818C2">
      <w:pPr>
        <w:tabs>
          <w:tab w:val="left" w:pos="142"/>
        </w:tabs>
        <w:spacing w:after="0" w:line="240" w:lineRule="auto"/>
        <w:ind w:right="0" w:firstLine="0"/>
        <w:jc w:val="left"/>
        <w:rPr>
          <w:rFonts w:ascii="Arial" w:hAnsi="Arial" w:cs="Arial"/>
          <w:sz w:val="22"/>
        </w:rPr>
      </w:pPr>
    </w:p>
    <w:p w14:paraId="01BD083D" w14:textId="30AD15AD" w:rsidR="00937EAA" w:rsidRPr="00A322D7" w:rsidRDefault="000A2FC6" w:rsidP="00C818C2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284" w:right="0" w:hanging="284"/>
        <w:jc w:val="left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t>ANTECEDENTE</w:t>
      </w:r>
      <w:r>
        <w:rPr>
          <w:rFonts w:ascii="Arial" w:hAnsi="Arial" w:cs="Arial"/>
          <w:b/>
          <w:sz w:val="22"/>
        </w:rPr>
        <w:t>S</w:t>
      </w:r>
    </w:p>
    <w:p w14:paraId="4BF1AFD3" w14:textId="77777777" w:rsidR="008404B4" w:rsidRPr="00A322D7" w:rsidRDefault="008404B4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</w:p>
    <w:p w14:paraId="11F31D2E" w14:textId="4D7DF216" w:rsidR="00D5252E" w:rsidRPr="00A322D7" w:rsidRDefault="00D5252E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  <w:r w:rsidRPr="00A322D7">
        <w:rPr>
          <w:rFonts w:ascii="Arial" w:hAnsi="Arial" w:cs="Arial"/>
          <w:sz w:val="22"/>
        </w:rPr>
        <w:t xml:space="preserve">Con </w:t>
      </w:r>
      <w:r w:rsidR="00A24B72">
        <w:rPr>
          <w:rFonts w:ascii="Arial" w:hAnsi="Arial" w:cs="Arial"/>
          <w:sz w:val="22"/>
        </w:rPr>
        <w:t xml:space="preserve">fecha </w:t>
      </w:r>
      <w:r w:rsidR="00A24B72" w:rsidRPr="005D1F4B">
        <w:rPr>
          <w:rFonts w:ascii="Arial" w:hAnsi="Arial" w:cs="Arial"/>
          <w:color w:val="808080" w:themeColor="background1" w:themeShade="80"/>
          <w:sz w:val="22"/>
        </w:rPr>
        <w:t>08</w:t>
      </w:r>
      <w:r w:rsidR="00A24B72" w:rsidRPr="005D1F4B">
        <w:rPr>
          <w:rFonts w:ascii="Arial" w:hAnsi="Arial" w:cs="Arial"/>
          <w:color w:val="A6A6A6" w:themeColor="background1" w:themeShade="A6"/>
          <w:sz w:val="22"/>
        </w:rPr>
        <w:t xml:space="preserve"> </w:t>
      </w:r>
      <w:r w:rsidR="00A24B72" w:rsidRPr="005D1F4B">
        <w:rPr>
          <w:rFonts w:ascii="Arial" w:hAnsi="Arial" w:cs="Arial"/>
          <w:sz w:val="22"/>
        </w:rPr>
        <w:t xml:space="preserve">de </w:t>
      </w:r>
      <w:r w:rsidR="00A24B72" w:rsidRPr="008F1278">
        <w:rPr>
          <w:rFonts w:ascii="Arial" w:hAnsi="Arial" w:cs="Arial"/>
          <w:color w:val="A6A6A6" w:themeColor="background1" w:themeShade="A6"/>
          <w:sz w:val="22"/>
        </w:rPr>
        <w:t xml:space="preserve">agosto </w:t>
      </w:r>
      <w:r w:rsidR="00A24B72" w:rsidRPr="005D1F4B">
        <w:rPr>
          <w:rFonts w:ascii="Arial" w:hAnsi="Arial" w:cs="Arial"/>
          <w:sz w:val="22"/>
        </w:rPr>
        <w:t xml:space="preserve">de </w:t>
      </w:r>
      <w:r w:rsidR="00A24B72" w:rsidRPr="008F1278">
        <w:rPr>
          <w:rFonts w:ascii="Arial" w:hAnsi="Arial" w:cs="Arial"/>
          <w:color w:val="A6A6A6" w:themeColor="background1" w:themeShade="A6"/>
          <w:sz w:val="22"/>
        </w:rPr>
        <w:t>2022</w:t>
      </w:r>
      <w:r w:rsidRPr="00A322D7">
        <w:rPr>
          <w:rFonts w:ascii="Arial" w:hAnsi="Arial" w:cs="Arial"/>
          <w:sz w:val="22"/>
        </w:rPr>
        <w:t xml:space="preserve">, </w:t>
      </w:r>
      <w:r w:rsidR="00A24B72" w:rsidRPr="008F1278">
        <w:rPr>
          <w:rFonts w:ascii="Arial" w:hAnsi="Arial" w:cs="Arial"/>
          <w:color w:val="A6A6A6" w:themeColor="background1" w:themeShade="A6"/>
          <w:sz w:val="22"/>
        </w:rPr>
        <w:t xml:space="preserve">Vélez Fernández Mathías Benjamín </w:t>
      </w:r>
      <w:r w:rsidR="008404B4" w:rsidRPr="00A24B72">
        <w:rPr>
          <w:rFonts w:ascii="Arial" w:hAnsi="Arial" w:cs="Arial"/>
          <w:i/>
          <w:iCs/>
          <w:color w:val="A6A6A6" w:themeColor="background1" w:themeShade="A6"/>
          <w:sz w:val="22"/>
        </w:rPr>
        <w:t>(</w:t>
      </w:r>
      <w:r w:rsidR="00A24B72" w:rsidRPr="00A24B72">
        <w:rPr>
          <w:rFonts w:ascii="Arial" w:hAnsi="Arial" w:cs="Arial"/>
          <w:i/>
          <w:iCs/>
          <w:color w:val="A6A6A6" w:themeColor="background1" w:themeShade="A6"/>
          <w:sz w:val="22"/>
        </w:rPr>
        <w:t xml:space="preserve">apellidos y </w:t>
      </w:r>
      <w:r w:rsidRPr="00A24B72">
        <w:rPr>
          <w:rFonts w:ascii="Arial" w:hAnsi="Arial" w:cs="Arial"/>
          <w:i/>
          <w:iCs/>
          <w:color w:val="A6A6A6" w:themeColor="background1" w:themeShade="A6"/>
          <w:sz w:val="22"/>
        </w:rPr>
        <w:t xml:space="preserve">nombres </w:t>
      </w:r>
      <w:r w:rsidR="00A24B72" w:rsidRPr="00A24B72">
        <w:rPr>
          <w:rFonts w:ascii="Arial" w:hAnsi="Arial" w:cs="Arial"/>
          <w:i/>
          <w:iCs/>
          <w:color w:val="A6A6A6" w:themeColor="background1" w:themeShade="A6"/>
          <w:sz w:val="22"/>
        </w:rPr>
        <w:t xml:space="preserve">completos </w:t>
      </w:r>
      <w:r w:rsidRPr="00A24B72">
        <w:rPr>
          <w:rFonts w:ascii="Arial" w:hAnsi="Arial" w:cs="Arial"/>
          <w:i/>
          <w:iCs/>
          <w:color w:val="A6A6A6" w:themeColor="background1" w:themeShade="A6"/>
          <w:sz w:val="22"/>
        </w:rPr>
        <w:t>del/la docente solicitante)</w:t>
      </w:r>
      <w:r w:rsidRPr="00A322D7">
        <w:rPr>
          <w:rFonts w:ascii="Arial" w:hAnsi="Arial" w:cs="Arial"/>
          <w:sz w:val="22"/>
        </w:rPr>
        <w:t xml:space="preserve">, </w:t>
      </w:r>
      <w:r w:rsidR="00A24B72" w:rsidRPr="005D1F4B">
        <w:rPr>
          <w:rFonts w:ascii="Arial" w:hAnsi="Arial" w:cs="Arial"/>
          <w:sz w:val="22"/>
        </w:rPr>
        <w:t xml:space="preserve">con cédula de identidad </w:t>
      </w:r>
      <w:r w:rsidR="00A24B72" w:rsidRPr="005D1F4B">
        <w:rPr>
          <w:rFonts w:ascii="Arial" w:hAnsi="Arial" w:cs="Arial"/>
          <w:color w:val="808080" w:themeColor="background1" w:themeShade="80"/>
          <w:sz w:val="22"/>
        </w:rPr>
        <w:t>123456789-0</w:t>
      </w:r>
      <w:r w:rsidR="00A24B72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A24B72" w:rsidRPr="005D1F4B">
        <w:rPr>
          <w:rFonts w:ascii="Arial" w:hAnsi="Arial" w:cs="Arial"/>
          <w:sz w:val="22"/>
        </w:rPr>
        <w:t>profesor</w:t>
      </w:r>
      <w:r w:rsidR="00A24B72" w:rsidRPr="005D1F4B">
        <w:rPr>
          <w:rFonts w:ascii="Arial" w:hAnsi="Arial" w:cs="Arial"/>
          <w:color w:val="808080" w:themeColor="background1" w:themeShade="80"/>
          <w:sz w:val="22"/>
        </w:rPr>
        <w:t xml:space="preserve">/a </w:t>
      </w:r>
      <w:r w:rsidR="00A24B72" w:rsidRPr="005D1F4B">
        <w:rPr>
          <w:rFonts w:ascii="Arial" w:hAnsi="Arial" w:cs="Arial"/>
          <w:sz w:val="22"/>
        </w:rPr>
        <w:t xml:space="preserve">titular </w:t>
      </w:r>
      <w:r w:rsidR="00A24B72" w:rsidRPr="008F1278">
        <w:rPr>
          <w:rFonts w:ascii="Arial" w:hAnsi="Arial" w:cs="Arial"/>
          <w:color w:val="A6A6A6" w:themeColor="background1" w:themeShade="A6"/>
          <w:sz w:val="22"/>
        </w:rPr>
        <w:t xml:space="preserve">principal/agregado/auxiliar </w:t>
      </w:r>
      <w:r w:rsidR="00A24B72" w:rsidRPr="005D1F4B">
        <w:rPr>
          <w:rFonts w:ascii="Arial" w:hAnsi="Arial" w:cs="Arial"/>
          <w:sz w:val="22"/>
        </w:rPr>
        <w:t>de la Carrera</w:t>
      </w:r>
      <w:r w:rsidR="00A24B72" w:rsidRPr="005D1F4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D4440C">
        <w:rPr>
          <w:rFonts w:ascii="Arial" w:hAnsi="Arial" w:cs="Arial"/>
          <w:color w:val="A6A6A6" w:themeColor="background1" w:themeShade="A6"/>
          <w:sz w:val="22"/>
        </w:rPr>
        <w:t>Tecnologías de la Información</w:t>
      </w:r>
      <w:r w:rsidR="00F61206" w:rsidRPr="00A322D7">
        <w:rPr>
          <w:rFonts w:ascii="Arial" w:hAnsi="Arial" w:cs="Arial"/>
          <w:sz w:val="22"/>
        </w:rPr>
        <w:t xml:space="preserve">, </w:t>
      </w:r>
      <w:r w:rsidR="00A24B72">
        <w:rPr>
          <w:rFonts w:ascii="Arial" w:hAnsi="Arial" w:cs="Arial"/>
          <w:sz w:val="22"/>
        </w:rPr>
        <w:t>solicitó su tras</w:t>
      </w:r>
      <w:r w:rsidR="00DB7FAF">
        <w:rPr>
          <w:rFonts w:ascii="Arial" w:hAnsi="Arial" w:cs="Arial"/>
          <w:sz w:val="22"/>
        </w:rPr>
        <w:t>lad</w:t>
      </w:r>
      <w:r w:rsidR="00A24B72">
        <w:rPr>
          <w:rFonts w:ascii="Arial" w:hAnsi="Arial" w:cs="Arial"/>
          <w:sz w:val="22"/>
        </w:rPr>
        <w:t xml:space="preserve">o </w:t>
      </w:r>
      <w:r w:rsidR="00D4440C">
        <w:rPr>
          <w:rFonts w:ascii="Arial" w:hAnsi="Arial" w:cs="Arial"/>
          <w:sz w:val="22"/>
        </w:rPr>
        <w:t xml:space="preserve">o </w:t>
      </w:r>
      <w:r w:rsidR="00D4440C" w:rsidRPr="00A322D7">
        <w:rPr>
          <w:rFonts w:ascii="Arial" w:hAnsi="Arial" w:cs="Arial"/>
          <w:sz w:val="22"/>
        </w:rPr>
        <w:t>movilidad</w:t>
      </w:r>
      <w:r w:rsidRPr="00A322D7">
        <w:rPr>
          <w:rFonts w:ascii="Arial" w:hAnsi="Arial" w:cs="Arial"/>
          <w:sz w:val="22"/>
        </w:rPr>
        <w:t xml:space="preserve"> interna hacia la </w:t>
      </w:r>
      <w:r w:rsidR="00A24B72" w:rsidRPr="005D1F4B">
        <w:rPr>
          <w:rFonts w:ascii="Arial" w:hAnsi="Arial" w:cs="Arial"/>
          <w:sz w:val="22"/>
        </w:rPr>
        <w:t>Carrera</w:t>
      </w:r>
      <w:r w:rsidR="00A24B72" w:rsidRPr="005D1F4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24B72">
        <w:rPr>
          <w:rFonts w:ascii="Arial" w:hAnsi="Arial" w:cs="Arial"/>
          <w:color w:val="808080" w:themeColor="background1" w:themeShade="80"/>
          <w:sz w:val="22"/>
        </w:rPr>
        <w:t>Publicidad</w:t>
      </w:r>
      <w:r w:rsidR="0038398F">
        <w:rPr>
          <w:rFonts w:ascii="Arial" w:hAnsi="Arial" w:cs="Arial"/>
          <w:color w:val="808080" w:themeColor="background1" w:themeShade="80"/>
          <w:sz w:val="22"/>
        </w:rPr>
        <w:t xml:space="preserve"> y Mercadotecnia</w:t>
      </w:r>
      <w:r w:rsidR="00A24B72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8404B4" w:rsidRPr="00A322D7">
        <w:rPr>
          <w:rFonts w:ascii="Arial" w:hAnsi="Arial" w:cs="Arial"/>
          <w:sz w:val="22"/>
        </w:rPr>
        <w:t xml:space="preserve">solicitud que fue acogida y resuelta por ambos Consejos de </w:t>
      </w:r>
      <w:r w:rsidR="00A24B72" w:rsidRPr="0003089C">
        <w:rPr>
          <w:rFonts w:ascii="Arial" w:hAnsi="Arial" w:cs="Arial"/>
          <w:color w:val="A6A6A6" w:themeColor="background1" w:themeShade="A6"/>
          <w:sz w:val="22"/>
        </w:rPr>
        <w:t>Facultad/Extensión</w:t>
      </w:r>
      <w:r w:rsidR="00A24B72">
        <w:rPr>
          <w:rFonts w:ascii="Arial" w:hAnsi="Arial" w:cs="Arial"/>
          <w:color w:val="A6A6A6" w:themeColor="background1" w:themeShade="A6"/>
          <w:sz w:val="22"/>
        </w:rPr>
        <w:t xml:space="preserve"> </w:t>
      </w:r>
      <w:r w:rsidR="00F526C5" w:rsidRPr="00A322D7">
        <w:rPr>
          <w:rFonts w:ascii="Arial" w:hAnsi="Arial" w:cs="Arial"/>
          <w:sz w:val="22"/>
        </w:rPr>
        <w:t xml:space="preserve">de las mencionadas unidades académicas </w:t>
      </w:r>
      <w:r w:rsidR="00D4440C">
        <w:rPr>
          <w:rFonts w:ascii="Arial" w:hAnsi="Arial" w:cs="Arial"/>
          <w:sz w:val="22"/>
        </w:rPr>
        <w:t xml:space="preserve">mediante resolución nro. </w:t>
      </w:r>
      <w:r w:rsidR="00D4440C">
        <w:rPr>
          <w:rFonts w:ascii="Arial" w:hAnsi="Arial" w:cs="Arial"/>
          <w:color w:val="A6A6A6" w:themeColor="background1" w:themeShade="A6"/>
          <w:sz w:val="22"/>
        </w:rPr>
        <w:t>FACCI</w:t>
      </w:r>
      <w:r w:rsidR="00D4440C" w:rsidRPr="00D4440C">
        <w:rPr>
          <w:rFonts w:ascii="Arial" w:hAnsi="Arial" w:cs="Arial"/>
          <w:color w:val="A6A6A6" w:themeColor="background1" w:themeShade="A6"/>
          <w:sz w:val="22"/>
        </w:rPr>
        <w:t xml:space="preserve">-SO-001-Nro.001-2022 </w:t>
      </w:r>
      <w:r w:rsidR="00D4440C">
        <w:rPr>
          <w:rFonts w:ascii="Arial" w:hAnsi="Arial" w:cs="Arial"/>
          <w:sz w:val="22"/>
        </w:rPr>
        <w:t xml:space="preserve">y </w:t>
      </w:r>
      <w:r w:rsidR="00D4440C" w:rsidRPr="00D4440C">
        <w:rPr>
          <w:rFonts w:ascii="Arial" w:hAnsi="Arial" w:cs="Arial"/>
          <w:color w:val="A6A6A6" w:themeColor="background1" w:themeShade="A6"/>
          <w:sz w:val="22"/>
        </w:rPr>
        <w:t>FACC</w:t>
      </w:r>
      <w:r w:rsidR="00D4440C">
        <w:rPr>
          <w:rFonts w:ascii="Arial" w:hAnsi="Arial" w:cs="Arial"/>
          <w:color w:val="A6A6A6" w:themeColor="background1" w:themeShade="A6"/>
          <w:sz w:val="22"/>
        </w:rPr>
        <w:t>O-</w:t>
      </w:r>
      <w:r w:rsidR="00D4440C" w:rsidRPr="00D4440C">
        <w:rPr>
          <w:rFonts w:ascii="Arial" w:hAnsi="Arial" w:cs="Arial"/>
          <w:color w:val="A6A6A6" w:themeColor="background1" w:themeShade="A6"/>
          <w:sz w:val="22"/>
        </w:rPr>
        <w:t>SO-001-Nro.001-2022</w:t>
      </w:r>
      <w:r w:rsidR="00D4440C">
        <w:rPr>
          <w:rFonts w:ascii="Arial" w:hAnsi="Arial" w:cs="Arial"/>
          <w:color w:val="A6A6A6" w:themeColor="background1" w:themeShade="A6"/>
          <w:sz w:val="22"/>
        </w:rPr>
        <w:t xml:space="preserve">, </w:t>
      </w:r>
      <w:r w:rsidR="00F61206" w:rsidRPr="00A322D7">
        <w:rPr>
          <w:rFonts w:ascii="Arial" w:hAnsi="Arial" w:cs="Arial"/>
          <w:sz w:val="22"/>
        </w:rPr>
        <w:t>y aceptad</w:t>
      </w:r>
      <w:r w:rsidR="008F1278">
        <w:rPr>
          <w:rFonts w:ascii="Arial" w:hAnsi="Arial" w:cs="Arial"/>
          <w:sz w:val="22"/>
        </w:rPr>
        <w:t>a</w:t>
      </w:r>
      <w:r w:rsidR="008404B4" w:rsidRPr="00A322D7">
        <w:rPr>
          <w:rFonts w:ascii="Arial" w:hAnsi="Arial" w:cs="Arial"/>
          <w:sz w:val="22"/>
        </w:rPr>
        <w:t xml:space="preserve"> por Consejo Académico, a través de resolución de sesión </w:t>
      </w:r>
      <w:r w:rsidR="008404B4" w:rsidRPr="00FA5F33">
        <w:rPr>
          <w:rFonts w:ascii="Arial" w:hAnsi="Arial" w:cs="Arial"/>
          <w:color w:val="A6A6A6" w:themeColor="background1" w:themeShade="A6"/>
          <w:sz w:val="22"/>
        </w:rPr>
        <w:t>ordinaria</w:t>
      </w:r>
      <w:r w:rsidR="00FA5F33" w:rsidRPr="00FA5F33">
        <w:rPr>
          <w:rFonts w:ascii="Arial" w:hAnsi="Arial" w:cs="Arial"/>
          <w:color w:val="A6A6A6" w:themeColor="background1" w:themeShade="A6"/>
          <w:sz w:val="22"/>
        </w:rPr>
        <w:t>/extraordinaria</w:t>
      </w:r>
      <w:r w:rsidR="008404B4" w:rsidRPr="00FA5F33">
        <w:rPr>
          <w:rFonts w:ascii="Arial" w:hAnsi="Arial" w:cs="Arial"/>
          <w:color w:val="A6A6A6" w:themeColor="background1" w:themeShade="A6"/>
          <w:sz w:val="22"/>
        </w:rPr>
        <w:t xml:space="preserve"> </w:t>
      </w:r>
      <w:r w:rsidR="008404B4" w:rsidRPr="00A322D7">
        <w:rPr>
          <w:rFonts w:ascii="Arial" w:hAnsi="Arial" w:cs="Arial"/>
          <w:sz w:val="22"/>
        </w:rPr>
        <w:t xml:space="preserve">No. </w:t>
      </w:r>
      <w:r w:rsidR="00FA5F33">
        <w:rPr>
          <w:rFonts w:ascii="Arial" w:hAnsi="Arial" w:cs="Arial"/>
          <w:sz w:val="22"/>
        </w:rPr>
        <w:t>0</w:t>
      </w:r>
      <w:r w:rsidR="00FA5F33" w:rsidRPr="00FA5F33">
        <w:rPr>
          <w:rFonts w:ascii="Arial" w:hAnsi="Arial" w:cs="Arial"/>
          <w:color w:val="A6A6A6" w:themeColor="background1" w:themeShade="A6"/>
          <w:sz w:val="22"/>
        </w:rPr>
        <w:t>50</w:t>
      </w:r>
      <w:r w:rsidR="008404B4" w:rsidRPr="00A322D7">
        <w:rPr>
          <w:rFonts w:ascii="Arial" w:hAnsi="Arial" w:cs="Arial"/>
          <w:sz w:val="22"/>
        </w:rPr>
        <w:t xml:space="preserve"> del </w:t>
      </w:r>
      <w:r w:rsidR="00FA5F33">
        <w:rPr>
          <w:rFonts w:ascii="Arial" w:hAnsi="Arial" w:cs="Arial"/>
          <w:color w:val="808080" w:themeColor="background1" w:themeShade="80"/>
          <w:sz w:val="22"/>
        </w:rPr>
        <w:t>15</w:t>
      </w:r>
      <w:r w:rsidR="00FA5F33" w:rsidRPr="005D1F4B">
        <w:rPr>
          <w:rFonts w:ascii="Arial" w:hAnsi="Arial" w:cs="Arial"/>
          <w:color w:val="A6A6A6" w:themeColor="background1" w:themeShade="A6"/>
          <w:sz w:val="22"/>
        </w:rPr>
        <w:t xml:space="preserve"> </w:t>
      </w:r>
      <w:r w:rsidR="00FA5F33" w:rsidRPr="005D1F4B">
        <w:rPr>
          <w:rFonts w:ascii="Arial" w:hAnsi="Arial" w:cs="Arial"/>
          <w:sz w:val="22"/>
        </w:rPr>
        <w:t xml:space="preserve">de </w:t>
      </w:r>
      <w:r w:rsidR="00FA5F33" w:rsidRPr="008F1278">
        <w:rPr>
          <w:rFonts w:ascii="Arial" w:hAnsi="Arial" w:cs="Arial"/>
          <w:color w:val="A6A6A6" w:themeColor="background1" w:themeShade="A6"/>
          <w:sz w:val="22"/>
        </w:rPr>
        <w:t xml:space="preserve">agosto </w:t>
      </w:r>
      <w:r w:rsidR="00FA5F33" w:rsidRPr="005D1F4B">
        <w:rPr>
          <w:rFonts w:ascii="Arial" w:hAnsi="Arial" w:cs="Arial"/>
          <w:sz w:val="22"/>
        </w:rPr>
        <w:t xml:space="preserve">de </w:t>
      </w:r>
      <w:r w:rsidR="00FA5F33" w:rsidRPr="008F1278">
        <w:rPr>
          <w:rFonts w:ascii="Arial" w:hAnsi="Arial" w:cs="Arial"/>
          <w:color w:val="A6A6A6" w:themeColor="background1" w:themeShade="A6"/>
          <w:sz w:val="22"/>
        </w:rPr>
        <w:t>2022</w:t>
      </w:r>
      <w:r w:rsidR="008404B4" w:rsidRPr="00A322D7">
        <w:rPr>
          <w:rFonts w:ascii="Arial" w:hAnsi="Arial" w:cs="Arial"/>
          <w:sz w:val="22"/>
        </w:rPr>
        <w:t>.</w:t>
      </w:r>
    </w:p>
    <w:p w14:paraId="36B32AEE" w14:textId="77777777" w:rsidR="00937EAA" w:rsidRPr="00A322D7" w:rsidRDefault="00937EAA" w:rsidP="00C818C2">
      <w:pPr>
        <w:tabs>
          <w:tab w:val="left" w:pos="142"/>
        </w:tabs>
        <w:spacing w:after="0" w:line="240" w:lineRule="auto"/>
        <w:ind w:right="0" w:firstLine="0"/>
        <w:jc w:val="left"/>
        <w:rPr>
          <w:rFonts w:ascii="Arial" w:hAnsi="Arial" w:cs="Arial"/>
          <w:sz w:val="22"/>
        </w:rPr>
      </w:pPr>
    </w:p>
    <w:p w14:paraId="1282AF4D" w14:textId="60C34DC0" w:rsidR="00B2278D" w:rsidRPr="00A322D7" w:rsidRDefault="008404B4" w:rsidP="00C818C2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284" w:right="0" w:hanging="284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t xml:space="preserve"> </w:t>
      </w:r>
      <w:r w:rsidR="000A2FC6" w:rsidRPr="00A322D7">
        <w:rPr>
          <w:rFonts w:ascii="Arial" w:hAnsi="Arial" w:cs="Arial"/>
          <w:b/>
          <w:sz w:val="22"/>
        </w:rPr>
        <w:t>BASE LEGAL</w:t>
      </w:r>
    </w:p>
    <w:p w14:paraId="3A8BD159" w14:textId="77777777" w:rsidR="008404B4" w:rsidRPr="00A322D7" w:rsidRDefault="008404B4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20EB1BE6" w14:textId="77777777" w:rsidR="008404B4" w:rsidRPr="00A322D7" w:rsidRDefault="00F526C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  <w:u w:val="single"/>
        </w:rPr>
      </w:pPr>
      <w:r w:rsidRPr="00A322D7">
        <w:rPr>
          <w:rFonts w:ascii="Arial" w:hAnsi="Arial" w:cs="Arial"/>
          <w:b/>
          <w:sz w:val="22"/>
          <w:u w:val="single"/>
        </w:rPr>
        <w:t>Constitución de la República del Ecuador:</w:t>
      </w:r>
    </w:p>
    <w:p w14:paraId="769A14DA" w14:textId="77777777" w:rsidR="00C818C2" w:rsidRPr="00A322D7" w:rsidRDefault="00C818C2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0CC1DA04" w14:textId="237B1978" w:rsidR="00F526C5" w:rsidRDefault="003862B8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  <w:shd w:val="clear" w:color="auto" w:fill="FFFFFF"/>
        </w:rPr>
      </w:pPr>
      <w:r>
        <w:rPr>
          <w:rStyle w:val="nrmar"/>
          <w:rFonts w:ascii="Arial" w:hAnsi="Arial" w:cs="Arial"/>
          <w:b/>
          <w:bCs/>
          <w:sz w:val="22"/>
          <w:shd w:val="clear" w:color="auto" w:fill="FFFFFF"/>
        </w:rPr>
        <w:t>Art. 28</w:t>
      </w:r>
      <w:r w:rsidRPr="003862B8">
        <w:rPr>
          <w:rFonts w:ascii="Arial" w:hAnsi="Arial" w:cs="Arial"/>
          <w:b/>
          <w:bCs/>
          <w:sz w:val="22"/>
          <w:shd w:val="clear" w:color="auto" w:fill="FFFFFF"/>
        </w:rPr>
        <w:t>.-</w:t>
      </w:r>
      <w:r>
        <w:rPr>
          <w:rFonts w:ascii="Arial" w:hAnsi="Arial" w:cs="Arial"/>
          <w:sz w:val="22"/>
          <w:shd w:val="clear" w:color="auto" w:fill="FFFFFF"/>
        </w:rPr>
        <w:t xml:space="preserve"> La educación responderá al interés público y no estará al servicio de intereses individuales y corporativos. Se garantizará el acceso universal, permanencia, movilidad y egreso sin discriminación alguna y la obligatoriedad en el nivel inicial, básico y bachillerato o su equivalente (…).</w:t>
      </w:r>
    </w:p>
    <w:p w14:paraId="448CD5E7" w14:textId="69F6D96E" w:rsidR="003862B8" w:rsidRPr="003862B8" w:rsidRDefault="003862B8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4400B805" w14:textId="77777777" w:rsidR="00295000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bCs/>
          <w:sz w:val="22"/>
          <w:shd w:val="clear" w:color="auto" w:fill="FFFFFF"/>
        </w:rPr>
      </w:pPr>
      <w:r w:rsidRPr="00295000">
        <w:rPr>
          <w:rFonts w:ascii="Arial" w:hAnsi="Arial" w:cs="Arial"/>
          <w:b/>
          <w:bCs/>
          <w:sz w:val="22"/>
          <w:shd w:val="clear" w:color="auto" w:fill="FFFFFF"/>
        </w:rPr>
        <w:t xml:space="preserve">Art. 349.- </w:t>
      </w:r>
      <w:r w:rsidRPr="00295000">
        <w:rPr>
          <w:rFonts w:ascii="Arial" w:hAnsi="Arial" w:cs="Arial"/>
          <w:sz w:val="22"/>
          <w:shd w:val="clear" w:color="auto" w:fill="FFFFFF"/>
        </w:rPr>
        <w:t>El Estado garantizará al personal docente, en todos los niveles y modalidades, estabilidad, actualización, formación continua y mejoramiento pedagógico y académico; una remuneración justa, de acuerdo a la profesionalización, desempeño y méritos académicos. La ley regulará la carrera docente y el escalafón; establecerá un sistema nacional de evaluación del desempeño y la política salarial en todos los niveles. Se establecerán políticas de promoción, movilidad y alternancia docente.</w:t>
      </w:r>
      <w:r w:rsidRPr="00295000">
        <w:rPr>
          <w:rFonts w:ascii="Arial" w:hAnsi="Arial" w:cs="Arial"/>
          <w:b/>
          <w:bCs/>
          <w:sz w:val="22"/>
          <w:shd w:val="clear" w:color="auto" w:fill="FFFFFF"/>
        </w:rPr>
        <w:t xml:space="preserve"> </w:t>
      </w:r>
    </w:p>
    <w:p w14:paraId="29FB3745" w14:textId="77777777" w:rsidR="00295000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51E34803" w14:textId="77777777" w:rsidR="00295000" w:rsidRDefault="00295000" w:rsidP="00295000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  <w:shd w:val="clear" w:color="auto" w:fill="FFFFFF"/>
        </w:rPr>
      </w:pPr>
      <w:r w:rsidRPr="00295000">
        <w:rPr>
          <w:rFonts w:ascii="Arial" w:hAnsi="Arial" w:cs="Arial"/>
          <w:b/>
          <w:bCs/>
          <w:sz w:val="22"/>
          <w:shd w:val="clear" w:color="auto" w:fill="FFFFFF"/>
        </w:rPr>
        <w:t>Art. 355.-</w:t>
      </w:r>
      <w:r w:rsidRPr="00295000">
        <w:rPr>
          <w:rFonts w:ascii="Arial" w:hAnsi="Arial" w:cs="Arial"/>
          <w:sz w:val="22"/>
          <w:shd w:val="clear" w:color="auto" w:fill="FFFFFF"/>
        </w:rPr>
        <w:t xml:space="preserve"> El Estado reconocerá a las universidades y escuelas politécnicas autonomía académica, administrativa, financiera y orgánica, acorde con los objetivos del régimen de desarrollo y los principios establecidos en la Constitución</w:t>
      </w:r>
      <w:r>
        <w:rPr>
          <w:rFonts w:ascii="Arial" w:hAnsi="Arial" w:cs="Arial"/>
          <w:sz w:val="22"/>
          <w:shd w:val="clear" w:color="auto" w:fill="FFFFFF"/>
        </w:rPr>
        <w:t xml:space="preserve"> (…).</w:t>
      </w:r>
    </w:p>
    <w:p w14:paraId="76E4B270" w14:textId="77777777" w:rsidR="003862B8" w:rsidRPr="00A322D7" w:rsidRDefault="003862B8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03D5865A" w14:textId="55D90522" w:rsidR="00F526C5" w:rsidRPr="00A322D7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  <w:u w:val="single"/>
        </w:rPr>
      </w:pPr>
      <w:r w:rsidRPr="00295000">
        <w:rPr>
          <w:rFonts w:ascii="Arial" w:hAnsi="Arial" w:cs="Arial"/>
          <w:b/>
          <w:sz w:val="22"/>
          <w:u w:val="single"/>
        </w:rPr>
        <w:t>Ley Orgánica de Educación Superior</w:t>
      </w:r>
      <w:r>
        <w:rPr>
          <w:rFonts w:ascii="Arial" w:hAnsi="Arial" w:cs="Arial"/>
          <w:b/>
          <w:sz w:val="22"/>
          <w:u w:val="single"/>
        </w:rPr>
        <w:t xml:space="preserve">, </w:t>
      </w:r>
      <w:r w:rsidR="00F526C5" w:rsidRPr="00A322D7">
        <w:rPr>
          <w:rFonts w:ascii="Arial" w:hAnsi="Arial" w:cs="Arial"/>
          <w:b/>
          <w:sz w:val="22"/>
          <w:u w:val="single"/>
        </w:rPr>
        <w:t>LOES:</w:t>
      </w:r>
    </w:p>
    <w:p w14:paraId="318FD555" w14:textId="77777777" w:rsidR="00C818C2" w:rsidRPr="00A322D7" w:rsidRDefault="00C818C2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668BFEF2" w14:textId="7FEE926E" w:rsidR="00A018D0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  <w:shd w:val="clear" w:color="auto" w:fill="FFFFFF"/>
        </w:rPr>
      </w:pPr>
      <w:r>
        <w:rPr>
          <w:rStyle w:val="nrmar"/>
          <w:rFonts w:ascii="Arial" w:hAnsi="Arial" w:cs="Arial"/>
          <w:b/>
          <w:bCs/>
          <w:sz w:val="22"/>
          <w:shd w:val="clear" w:color="auto" w:fill="FFFFFF"/>
        </w:rPr>
        <w:t>Art. 6, literal c</w:t>
      </w:r>
      <w:r w:rsidRPr="00295000">
        <w:rPr>
          <w:rFonts w:ascii="Arial" w:hAnsi="Arial" w:cs="Arial"/>
          <w:b/>
          <w:bCs/>
          <w:sz w:val="22"/>
          <w:shd w:val="clear" w:color="auto" w:fill="FFFFFF"/>
        </w:rPr>
        <w:t>.-</w:t>
      </w:r>
      <w:r>
        <w:rPr>
          <w:rFonts w:ascii="Arial" w:hAnsi="Arial" w:cs="Arial"/>
          <w:sz w:val="22"/>
          <w:shd w:val="clear" w:color="auto" w:fill="FFFFFF"/>
        </w:rPr>
        <w:t xml:space="preserve"> Derechos de los profesores o profesoras e investigadores o investigadoras.- Son derechos de las y los profesores e investigadores de conformidad con la Constitución y esta Ley los siguientes:</w:t>
      </w:r>
      <w:r w:rsidRPr="00295000">
        <w:t xml:space="preserve"> </w:t>
      </w:r>
      <w:r w:rsidRPr="00295000">
        <w:rPr>
          <w:rFonts w:ascii="Arial" w:hAnsi="Arial" w:cs="Arial"/>
          <w:sz w:val="22"/>
          <w:shd w:val="clear" w:color="auto" w:fill="FFFFFF"/>
        </w:rPr>
        <w:t>Acceder a la carrera de profesor e investigador y a cargos directivos, que garantice estabilidad, promoción, movilidad y retiro, basados en el mérito académico, en la calidad de la enseñanza impartida, en la producción investigativa, en la creación artística y literaria, en el perfeccionamiento permanente, sin admitir discriminación de género, etnia, ni de ningún otro tipo; además a tener posibilidades de acciones afirmativas</w:t>
      </w:r>
      <w:r>
        <w:rPr>
          <w:rFonts w:ascii="Arial" w:hAnsi="Arial" w:cs="Arial"/>
          <w:sz w:val="22"/>
          <w:shd w:val="clear" w:color="auto" w:fill="FFFFFF"/>
        </w:rPr>
        <w:t>.</w:t>
      </w:r>
    </w:p>
    <w:p w14:paraId="7E747141" w14:textId="5429CF03" w:rsidR="00295000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  <w:shd w:val="clear" w:color="auto" w:fill="FFFFFF"/>
        </w:rPr>
      </w:pPr>
    </w:p>
    <w:p w14:paraId="4BBA21B8" w14:textId="53C6BD7C" w:rsidR="00295000" w:rsidRPr="00A322D7" w:rsidRDefault="00295000" w:rsidP="00295000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  <w:r w:rsidRPr="00A322D7">
        <w:rPr>
          <w:rFonts w:ascii="Arial" w:hAnsi="Arial" w:cs="Arial"/>
          <w:b/>
          <w:sz w:val="22"/>
        </w:rPr>
        <w:lastRenderedPageBreak/>
        <w:t xml:space="preserve">Artículo 71.- </w:t>
      </w:r>
      <w:r w:rsidRPr="00A322D7">
        <w:rPr>
          <w:rFonts w:ascii="Arial" w:hAnsi="Arial" w:cs="Arial"/>
          <w:sz w:val="22"/>
        </w:rPr>
        <w:t>El principio de igualdad de oportunidades consiste en garantizar a todos los actores del Sistema de Educación Superior las mismas posibilidades en el acceso, permanencia, movilidad y egreso del sistema, sin discriminación de género, credo, orientación sexual, etnia, cultura, preferencia política, condición socioeconómica o discapacidad;</w:t>
      </w:r>
    </w:p>
    <w:p w14:paraId="2BD9121D" w14:textId="77777777" w:rsidR="00295000" w:rsidRPr="00A322D7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580DD515" w14:textId="44DB8A69" w:rsidR="00C818C2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  <w:u w:val="single"/>
        </w:rPr>
      </w:pPr>
      <w:r w:rsidRPr="00295000">
        <w:rPr>
          <w:rFonts w:ascii="Arial" w:hAnsi="Arial" w:cs="Arial"/>
          <w:b/>
          <w:sz w:val="22"/>
          <w:u w:val="single"/>
        </w:rPr>
        <w:t>Reglamento de Escalafón del Personal Académico de Educación Superior</w:t>
      </w:r>
      <w:r>
        <w:rPr>
          <w:rFonts w:ascii="Arial" w:hAnsi="Arial" w:cs="Arial"/>
          <w:b/>
          <w:sz w:val="22"/>
          <w:u w:val="single"/>
        </w:rPr>
        <w:t>.</w:t>
      </w:r>
    </w:p>
    <w:p w14:paraId="670F81E3" w14:textId="77777777" w:rsidR="00295000" w:rsidRPr="00A322D7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60391D23" w14:textId="3F15DCFE" w:rsidR="00295000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  <w:r w:rsidRPr="00295000">
        <w:rPr>
          <w:rFonts w:ascii="Arial" w:hAnsi="Arial" w:cs="Arial"/>
          <w:b/>
          <w:sz w:val="22"/>
        </w:rPr>
        <w:t xml:space="preserve">Art. 103.- </w:t>
      </w:r>
      <w:r w:rsidRPr="00180767">
        <w:rPr>
          <w:rFonts w:ascii="Arial" w:hAnsi="Arial" w:cs="Arial"/>
          <w:bCs/>
          <w:sz w:val="22"/>
        </w:rPr>
        <w:t>Derecho a la movilidad.-</w:t>
      </w:r>
      <w:r w:rsidRPr="00295000">
        <w:rPr>
          <w:rFonts w:ascii="Arial" w:hAnsi="Arial" w:cs="Arial"/>
          <w:b/>
          <w:sz w:val="22"/>
        </w:rPr>
        <w:t xml:space="preserve"> </w:t>
      </w:r>
      <w:r w:rsidRPr="00295000">
        <w:rPr>
          <w:rFonts w:ascii="Arial" w:hAnsi="Arial" w:cs="Arial"/>
          <w:bCs/>
          <w:sz w:val="22"/>
        </w:rPr>
        <w:t>A fin de garantizar la movilidad del personal académico, las universidades y escuelas politécnicas podrán conceder licencias, comisiones de servicio y autorizar traspasos y traslados de puestos</w:t>
      </w:r>
      <w:r>
        <w:rPr>
          <w:rFonts w:ascii="Arial" w:hAnsi="Arial" w:cs="Arial"/>
          <w:bCs/>
          <w:sz w:val="22"/>
        </w:rPr>
        <w:t xml:space="preserve"> (…).</w:t>
      </w:r>
    </w:p>
    <w:p w14:paraId="7D9652F3" w14:textId="77777777" w:rsidR="00295000" w:rsidRDefault="0029500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6EE7B593" w14:textId="77777777" w:rsidR="00180767" w:rsidRPr="00180767" w:rsidRDefault="00180767" w:rsidP="00180767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180767">
        <w:rPr>
          <w:rFonts w:ascii="Arial" w:hAnsi="Arial"/>
          <w:b/>
          <w:bCs/>
          <w:sz w:val="22"/>
        </w:rPr>
        <w:t>Art. 108</w:t>
      </w:r>
      <w:r w:rsidRPr="00180767">
        <w:rPr>
          <w:rFonts w:ascii="Arial" w:hAnsi="Arial" w:cs="Arial"/>
          <w:b/>
          <w:bCs/>
          <w:sz w:val="22"/>
        </w:rPr>
        <w:t xml:space="preserve">.- </w:t>
      </w:r>
      <w:r w:rsidRPr="00180767">
        <w:rPr>
          <w:rFonts w:ascii="Arial" w:hAnsi="Arial" w:cs="Arial"/>
          <w:sz w:val="22"/>
        </w:rPr>
        <w:t>Traslado de puestos del personal académico en las universidades y escuelas politécnicas.- La</w:t>
      </w:r>
      <w:r w:rsidRPr="00180767">
        <w:rPr>
          <w:rFonts w:ascii="Arial" w:hAnsi="Arial" w:cs="Arial"/>
          <w:bCs/>
          <w:sz w:val="22"/>
        </w:rPr>
        <w:t xml:space="preserve"> universidad o escuela politécnica a través del órgano encargado, podrá autorizar el traslado del personal académico de un puesto a otro de igual nivel, categoría y grado escalafonario dentro de la misma institución de educación superior, previa aceptación del docente. </w:t>
      </w:r>
    </w:p>
    <w:p w14:paraId="4A2DAAA2" w14:textId="77777777" w:rsidR="00180767" w:rsidRPr="00180767" w:rsidRDefault="00180767" w:rsidP="00180767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</w:p>
    <w:p w14:paraId="54F7E7C9" w14:textId="77777777" w:rsidR="00180767" w:rsidRPr="00180767" w:rsidRDefault="00180767" w:rsidP="00180767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180767">
        <w:rPr>
          <w:rFonts w:ascii="Arial" w:hAnsi="Arial" w:cs="Arial"/>
          <w:bCs/>
          <w:sz w:val="22"/>
        </w:rPr>
        <w:t>Se podrá prescindir de la aceptación del docente, cuando por razones institucionales se requiera el traslado dentro del mismo cantón o provincia, siempre y cuando el traslado no requiera cambio de domicilio del personal académico y haya sido autorizado por el máximo órgano colegiado de la universidad o escuela politécnica.</w:t>
      </w:r>
    </w:p>
    <w:p w14:paraId="2467A698" w14:textId="35BA1EF3" w:rsidR="00A018D0" w:rsidRDefault="00A018D0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376ED775" w14:textId="02A35A0E" w:rsidR="00F526C5" w:rsidRPr="00A322D7" w:rsidRDefault="00F526C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  <w:u w:val="single"/>
        </w:rPr>
      </w:pPr>
      <w:r w:rsidRPr="00A322D7">
        <w:rPr>
          <w:rFonts w:ascii="Arial" w:hAnsi="Arial" w:cs="Arial"/>
          <w:b/>
          <w:sz w:val="22"/>
          <w:u w:val="single"/>
        </w:rPr>
        <w:t xml:space="preserve">Estatuto </w:t>
      </w:r>
      <w:r w:rsidR="005B5A24" w:rsidRPr="005B5A24">
        <w:rPr>
          <w:rFonts w:ascii="Arial" w:hAnsi="Arial" w:cs="Arial"/>
          <w:b/>
          <w:sz w:val="22"/>
          <w:u w:val="single"/>
        </w:rPr>
        <w:t>de la Universidad Laica “Eloy Alfaro” de Manabí</w:t>
      </w:r>
      <w:r w:rsidRPr="00A322D7">
        <w:rPr>
          <w:rFonts w:ascii="Arial" w:hAnsi="Arial" w:cs="Arial"/>
          <w:b/>
          <w:sz w:val="22"/>
          <w:u w:val="single"/>
        </w:rPr>
        <w:t>:</w:t>
      </w:r>
    </w:p>
    <w:p w14:paraId="324C6CDC" w14:textId="77777777" w:rsidR="00C818C2" w:rsidRPr="00A322D7" w:rsidRDefault="00C818C2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6F7BB6D8" w14:textId="6DEBE8CA" w:rsidR="00AA4426" w:rsidRPr="00AA4426" w:rsidRDefault="00AA4426" w:rsidP="00AA4426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AA4426">
        <w:rPr>
          <w:rFonts w:ascii="Arial" w:hAnsi="Arial" w:cs="Arial"/>
          <w:b/>
          <w:sz w:val="22"/>
        </w:rPr>
        <w:t>Art. 34 numeral</w:t>
      </w:r>
      <w:r>
        <w:rPr>
          <w:rFonts w:ascii="Arial" w:hAnsi="Arial" w:cs="Arial"/>
          <w:b/>
          <w:sz w:val="22"/>
        </w:rPr>
        <w:t xml:space="preserve"> </w:t>
      </w:r>
      <w:r w:rsidRPr="00AA4426">
        <w:rPr>
          <w:rFonts w:ascii="Arial" w:hAnsi="Arial" w:cs="Arial"/>
          <w:b/>
          <w:sz w:val="22"/>
        </w:rPr>
        <w:t>24.-</w:t>
      </w:r>
      <w:r w:rsidRPr="00AA4426">
        <w:rPr>
          <w:rFonts w:ascii="Arial" w:hAnsi="Arial" w:cs="Arial"/>
          <w:bCs/>
          <w:sz w:val="22"/>
        </w:rPr>
        <w:t xml:space="preserve"> Obligaciones y atribuciones. Son obligaciones y atribuciones del Órgano Colegiado Superior: Conocer y aprobar las políticas y directrices generales de la actividad académica, previo informe del Consejo Académico, considerando la programación elaborada en las unidades académicas.</w:t>
      </w:r>
    </w:p>
    <w:p w14:paraId="7DFB1972" w14:textId="77777777" w:rsidR="00AA4426" w:rsidRDefault="00AA4426" w:rsidP="005B5A24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7594CDA9" w14:textId="6933A984" w:rsidR="005B5A24" w:rsidRPr="005B5A24" w:rsidRDefault="005B5A24" w:rsidP="005B5A24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5B5A24">
        <w:rPr>
          <w:rFonts w:ascii="Arial" w:hAnsi="Arial" w:cs="Arial"/>
          <w:b/>
          <w:sz w:val="22"/>
        </w:rPr>
        <w:t>Art. 41, numeral 24.-</w:t>
      </w:r>
      <w:r w:rsidRPr="005B5A24">
        <w:rPr>
          <w:rFonts w:ascii="Arial" w:hAnsi="Arial" w:cs="Arial"/>
          <w:bCs/>
          <w:sz w:val="22"/>
        </w:rPr>
        <w:t xml:space="preserve"> Obligaciones y atribuciones. Son obligaciones y atribuciones de el/la Rector/a: Resolver las contrataciones, reubicaciones y traslados del personal, conforme a las disposiciones legales y reglamentarias vigentes, previo informe del Departamento de Administración de Talento Humano, debidamente coordinado con la Dirección Financiera y las Autoridades Académicas.</w:t>
      </w:r>
    </w:p>
    <w:p w14:paraId="5EDE51A6" w14:textId="49BBE2F8" w:rsidR="005B5A24" w:rsidRDefault="005B5A24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7D3436F7" w14:textId="77777777" w:rsidR="00E62260" w:rsidRDefault="005B5A24" w:rsidP="005B5A24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5B5A24">
        <w:rPr>
          <w:rFonts w:ascii="Arial" w:hAnsi="Arial" w:cs="Arial"/>
          <w:b/>
          <w:sz w:val="22"/>
        </w:rPr>
        <w:t xml:space="preserve">Art. 103, numeral </w:t>
      </w:r>
      <w:r w:rsidR="00E62260">
        <w:rPr>
          <w:rFonts w:ascii="Arial" w:hAnsi="Arial" w:cs="Arial"/>
          <w:b/>
          <w:sz w:val="22"/>
        </w:rPr>
        <w:t xml:space="preserve">5 y </w:t>
      </w:r>
      <w:r w:rsidRPr="005B5A24">
        <w:rPr>
          <w:rFonts w:ascii="Arial" w:hAnsi="Arial" w:cs="Arial"/>
          <w:b/>
          <w:sz w:val="22"/>
        </w:rPr>
        <w:t>6.-</w:t>
      </w:r>
      <w:r w:rsidRPr="005B5A24">
        <w:rPr>
          <w:rFonts w:ascii="Arial" w:hAnsi="Arial" w:cs="Arial"/>
          <w:bCs/>
          <w:sz w:val="22"/>
        </w:rPr>
        <w:t xml:space="preserve"> Funciones. Las funciones asignadas al/la Director/a de Administración del Talento Humano de la Universidad Laica “Eloy Alfaro” de Manabí, son las siguientes: </w:t>
      </w:r>
    </w:p>
    <w:p w14:paraId="0A1ABD10" w14:textId="5A98AFCF" w:rsidR="00E62260" w:rsidRDefault="00E62260" w:rsidP="00E62260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right="0"/>
        <w:rPr>
          <w:rFonts w:ascii="Arial" w:hAnsi="Arial" w:cs="Arial"/>
          <w:bCs/>
          <w:sz w:val="22"/>
        </w:rPr>
      </w:pPr>
      <w:r w:rsidRPr="00E62260">
        <w:rPr>
          <w:rFonts w:ascii="Arial" w:hAnsi="Arial" w:cs="Arial"/>
          <w:bCs/>
          <w:sz w:val="22"/>
        </w:rPr>
        <w:t>Mantener actualizado el banco de datos de profesores/as e investigadores/as, servidores/as y</w:t>
      </w:r>
      <w:r>
        <w:rPr>
          <w:rFonts w:ascii="Arial" w:hAnsi="Arial" w:cs="Arial"/>
          <w:bCs/>
          <w:sz w:val="22"/>
        </w:rPr>
        <w:t xml:space="preserve"> </w:t>
      </w:r>
      <w:r w:rsidRPr="00E62260">
        <w:rPr>
          <w:rFonts w:ascii="Arial" w:hAnsi="Arial" w:cs="Arial"/>
          <w:bCs/>
          <w:sz w:val="22"/>
        </w:rPr>
        <w:t>trabajadores/as universitarios</w:t>
      </w:r>
    </w:p>
    <w:p w14:paraId="27BA59C9" w14:textId="572D90D9" w:rsidR="005B5A24" w:rsidRPr="005B5A24" w:rsidRDefault="005B5A24" w:rsidP="00E62260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right="0"/>
        <w:rPr>
          <w:rFonts w:ascii="Arial" w:hAnsi="Arial" w:cs="Arial"/>
          <w:bCs/>
          <w:sz w:val="22"/>
        </w:rPr>
      </w:pPr>
      <w:r w:rsidRPr="005B5A24">
        <w:rPr>
          <w:rFonts w:ascii="Arial" w:hAnsi="Arial" w:cs="Arial"/>
          <w:bCs/>
          <w:sz w:val="22"/>
        </w:rPr>
        <w:t>Elaborar los informes y las acciones de personal relacionadas con el movimiento de profesores/as e investigadores/as, servidores/as y trabajadores/as.</w:t>
      </w:r>
    </w:p>
    <w:p w14:paraId="47FF0F19" w14:textId="2E7BC959" w:rsidR="005B5A24" w:rsidRDefault="005B5A24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27A2C873" w14:textId="77777777" w:rsidR="00533DDC" w:rsidRPr="00533DDC" w:rsidRDefault="00533DDC" w:rsidP="00533DDC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533DDC">
        <w:rPr>
          <w:rFonts w:ascii="Arial" w:hAnsi="Arial" w:cs="Arial"/>
          <w:b/>
          <w:sz w:val="22"/>
        </w:rPr>
        <w:t>Art. 171, numeral 4, 6 y 10 .-</w:t>
      </w:r>
      <w:r w:rsidRPr="00533DDC">
        <w:rPr>
          <w:rFonts w:ascii="Arial" w:hAnsi="Arial" w:cs="Arial"/>
          <w:bCs/>
          <w:sz w:val="22"/>
        </w:rPr>
        <w:t xml:space="preserve"> De las atribuciones y responsabilidades. La Comisión Académica de la Facultad o Extensión tiene las siguientes funciones y atribuciones: </w:t>
      </w:r>
    </w:p>
    <w:p w14:paraId="6C709E67" w14:textId="3399A02E" w:rsidR="00533DDC" w:rsidRPr="00533DDC" w:rsidRDefault="00533DDC" w:rsidP="00533DDC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right="0"/>
        <w:rPr>
          <w:rFonts w:ascii="Arial" w:hAnsi="Arial" w:cs="Arial"/>
          <w:bCs/>
          <w:sz w:val="22"/>
        </w:rPr>
      </w:pPr>
      <w:r w:rsidRPr="00533DDC">
        <w:rPr>
          <w:rFonts w:ascii="Arial" w:hAnsi="Arial" w:cs="Arial"/>
          <w:bCs/>
          <w:sz w:val="22"/>
        </w:rPr>
        <w:t>Elaborar informes fundamentados para conocimiento, aprobación o negación del Consejo de Facultad o Extensión.</w:t>
      </w:r>
    </w:p>
    <w:p w14:paraId="3779D2EC" w14:textId="77777777" w:rsidR="00533DDC" w:rsidRPr="00533DDC" w:rsidRDefault="00533DDC" w:rsidP="00533DDC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right="0"/>
        <w:rPr>
          <w:rFonts w:ascii="Arial" w:hAnsi="Arial" w:cs="Arial"/>
          <w:bCs/>
          <w:sz w:val="22"/>
        </w:rPr>
      </w:pPr>
      <w:r w:rsidRPr="00533DDC">
        <w:rPr>
          <w:rFonts w:ascii="Arial" w:hAnsi="Arial" w:cs="Arial"/>
          <w:bCs/>
          <w:sz w:val="22"/>
        </w:rPr>
        <w:t>Elaborar y poner en conocimiento del Consejo de Facultad o Extensión, previo debate con el colectivo de docentes, el distributivo de actividades antes del inicio de cada periodo académico ordinario.</w:t>
      </w:r>
    </w:p>
    <w:p w14:paraId="579D8B2A" w14:textId="77777777" w:rsidR="00533DDC" w:rsidRPr="00533DDC" w:rsidRDefault="00533DDC" w:rsidP="00533DDC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right="0"/>
        <w:rPr>
          <w:rFonts w:ascii="Arial" w:hAnsi="Arial" w:cs="Arial"/>
          <w:bCs/>
          <w:sz w:val="22"/>
        </w:rPr>
      </w:pPr>
      <w:r w:rsidRPr="00533DDC">
        <w:rPr>
          <w:rFonts w:ascii="Arial" w:hAnsi="Arial" w:cs="Arial"/>
          <w:bCs/>
          <w:sz w:val="22"/>
        </w:rPr>
        <w:t>Coordinar, asesorar y cooperar con las autoridades de la Facultad y de la Universidad Laica “Eloy Alfaro” de Manabí en los asuntos de orden académico.</w:t>
      </w:r>
    </w:p>
    <w:p w14:paraId="5BEACF9E" w14:textId="77777777" w:rsidR="00533DDC" w:rsidRDefault="00533DDC" w:rsidP="00533DDC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1A3AE7CF" w14:textId="7F1B7880" w:rsidR="00533DDC" w:rsidRPr="00533DDC" w:rsidRDefault="00533DDC" w:rsidP="00533DDC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533DDC">
        <w:rPr>
          <w:rFonts w:ascii="Arial" w:hAnsi="Arial" w:cs="Arial"/>
          <w:b/>
          <w:sz w:val="22"/>
        </w:rPr>
        <w:lastRenderedPageBreak/>
        <w:t>Art. 181, numeral 2 .-</w:t>
      </w:r>
      <w:r w:rsidRPr="00533DDC">
        <w:rPr>
          <w:rFonts w:ascii="Arial" w:hAnsi="Arial" w:cs="Arial"/>
          <w:bCs/>
          <w:sz w:val="22"/>
        </w:rPr>
        <w:t xml:space="preserve"> Obligaciones y atribuciones. Son obligaciones y atribuciones del/la Decano/a:</w:t>
      </w:r>
      <w:r>
        <w:rPr>
          <w:rFonts w:ascii="Arial" w:hAnsi="Arial" w:cs="Arial"/>
          <w:bCs/>
          <w:sz w:val="22"/>
        </w:rPr>
        <w:t xml:space="preserve"> </w:t>
      </w:r>
      <w:r w:rsidRPr="00533DDC">
        <w:rPr>
          <w:rFonts w:ascii="Arial" w:hAnsi="Arial" w:cs="Arial"/>
          <w:bCs/>
          <w:sz w:val="22"/>
        </w:rPr>
        <w:t>Planificar, organizar, dirigir y controlar el funcionamiento académico, administrativo y financiero de la facultad o extensión.</w:t>
      </w:r>
    </w:p>
    <w:p w14:paraId="5DE8157A" w14:textId="77777777" w:rsidR="00533DDC" w:rsidRDefault="00533DDC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5CEA6CEE" w14:textId="77777777" w:rsidR="00533DDC" w:rsidRPr="00533DDC" w:rsidRDefault="00533DDC" w:rsidP="00533DDC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Cs/>
          <w:sz w:val="22"/>
        </w:rPr>
      </w:pPr>
      <w:r w:rsidRPr="00533DDC">
        <w:rPr>
          <w:rFonts w:ascii="Arial" w:hAnsi="Arial" w:cs="Arial"/>
          <w:b/>
          <w:sz w:val="22"/>
        </w:rPr>
        <w:t>Art. 238.-</w:t>
      </w:r>
      <w:r w:rsidRPr="00533DDC">
        <w:rPr>
          <w:rFonts w:ascii="Arial" w:hAnsi="Arial" w:cs="Arial"/>
          <w:bCs/>
          <w:sz w:val="22"/>
        </w:rPr>
        <w:t xml:space="preserve"> De la movilidad. Los/as profesores/as e investigadores/as podrán solicitar licencias o comisiones de servicio, traspasos de puestos y otras formas legales de movilidad, la universidad no negará a sus docentes el derecho a la movilidad, que será regulado en la normativa interna de movilidad académica (…).</w:t>
      </w:r>
    </w:p>
    <w:p w14:paraId="6F2A4202" w14:textId="77777777" w:rsidR="00C818C2" w:rsidRPr="00A322D7" w:rsidRDefault="00C818C2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6DFBAEB4" w14:textId="2063ABEF" w:rsidR="005B10BF" w:rsidRPr="00A322D7" w:rsidRDefault="00CD5093" w:rsidP="00CD5093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284" w:right="0" w:hanging="284"/>
        <w:jc w:val="left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t>PERFIL DEL DOCENTE TITULAR:</w:t>
      </w:r>
    </w:p>
    <w:p w14:paraId="6B6A33A3" w14:textId="7965770B" w:rsidR="005B10BF" w:rsidRDefault="005B10BF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4494CC25" w14:textId="6533DB36" w:rsidR="00D604EC" w:rsidRDefault="00D604EC" w:rsidP="00D604EC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p w14:paraId="116DA181" w14:textId="77777777" w:rsidR="00D604EC" w:rsidRPr="00A322D7" w:rsidRDefault="00D604EC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Ind w:w="327" w:type="dxa"/>
        <w:tblLook w:val="04A0" w:firstRow="1" w:lastRow="0" w:firstColumn="1" w:lastColumn="0" w:noHBand="0" w:noVBand="1"/>
      </w:tblPr>
      <w:tblGrid>
        <w:gridCol w:w="2503"/>
        <w:gridCol w:w="5812"/>
      </w:tblGrid>
      <w:tr w:rsidR="006A0E6C" w:rsidRPr="00A322D7" w14:paraId="072E7812" w14:textId="77777777" w:rsidTr="00312F55">
        <w:tc>
          <w:tcPr>
            <w:tcW w:w="2503" w:type="dxa"/>
          </w:tcPr>
          <w:p w14:paraId="644BF085" w14:textId="77777777" w:rsidR="006A0E6C" w:rsidRPr="00A322D7" w:rsidRDefault="006A0E6C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Número de cédula:</w:t>
            </w:r>
          </w:p>
        </w:tc>
        <w:tc>
          <w:tcPr>
            <w:tcW w:w="5812" w:type="dxa"/>
          </w:tcPr>
          <w:p w14:paraId="5D93B909" w14:textId="721CAB66" w:rsidR="006A0E6C" w:rsidRPr="00A322D7" w:rsidRDefault="00805BB3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5D1F4B">
              <w:rPr>
                <w:rFonts w:ascii="Arial" w:hAnsi="Arial" w:cs="Arial"/>
                <w:color w:val="808080" w:themeColor="background1" w:themeShade="80"/>
                <w:sz w:val="22"/>
              </w:rPr>
              <w:t>123456789-0</w:t>
            </w:r>
          </w:p>
        </w:tc>
      </w:tr>
      <w:tr w:rsidR="005B10BF" w:rsidRPr="00A322D7" w14:paraId="18FDDF57" w14:textId="77777777" w:rsidTr="00312F55">
        <w:tc>
          <w:tcPr>
            <w:tcW w:w="2503" w:type="dxa"/>
          </w:tcPr>
          <w:p w14:paraId="1CC1104D" w14:textId="77327D51" w:rsidR="005B10BF" w:rsidRPr="00A322D7" w:rsidRDefault="005B10BF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Apellidos</w:t>
            </w:r>
            <w:r w:rsidR="006D623B">
              <w:rPr>
                <w:rFonts w:ascii="Arial" w:hAnsi="Arial" w:cs="Arial"/>
                <w:b/>
                <w:sz w:val="22"/>
              </w:rPr>
              <w:t xml:space="preserve"> y nombres</w:t>
            </w:r>
            <w:r w:rsidRPr="00A322D7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812" w:type="dxa"/>
          </w:tcPr>
          <w:p w14:paraId="359B1192" w14:textId="4E38C52B" w:rsidR="005B10BF" w:rsidRPr="00A322D7" w:rsidRDefault="00B0671F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8F1278">
              <w:rPr>
                <w:rFonts w:ascii="Arial" w:hAnsi="Arial" w:cs="Arial"/>
                <w:color w:val="A6A6A6" w:themeColor="background1" w:themeShade="A6"/>
                <w:sz w:val="22"/>
              </w:rPr>
              <w:t xml:space="preserve">VÉLEZ FERNÁNDEZ </w:t>
            </w:r>
            <w:r w:rsidR="006D623B" w:rsidRPr="008F1278">
              <w:rPr>
                <w:rFonts w:ascii="Arial" w:hAnsi="Arial" w:cs="Arial"/>
                <w:color w:val="A6A6A6" w:themeColor="background1" w:themeShade="A6"/>
                <w:sz w:val="22"/>
              </w:rPr>
              <w:t xml:space="preserve">MATHÍAS </w:t>
            </w:r>
            <w:r w:rsidR="006D623B"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BENJAMÍN</w:t>
            </w:r>
          </w:p>
        </w:tc>
      </w:tr>
      <w:tr w:rsidR="005B10BF" w:rsidRPr="00A322D7" w14:paraId="5DACEB9C" w14:textId="77777777" w:rsidTr="00312F55">
        <w:tc>
          <w:tcPr>
            <w:tcW w:w="2503" w:type="dxa"/>
            <w:tcBorders>
              <w:bottom w:val="single" w:sz="4" w:space="0" w:color="auto"/>
            </w:tcBorders>
          </w:tcPr>
          <w:p w14:paraId="40EA3C53" w14:textId="77777777" w:rsidR="005B10BF" w:rsidRPr="00A322D7" w:rsidRDefault="005B10BF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Lugar de domicilio: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704DEF7" w14:textId="77777777" w:rsidR="00312F55" w:rsidRDefault="00312F55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Cs/>
                <w:color w:val="A6A6A6" w:themeColor="background1" w:themeShade="A6"/>
                <w:sz w:val="22"/>
              </w:rPr>
            </w:pPr>
            <w:r w:rsidRPr="00805BB3">
              <w:rPr>
                <w:rFonts w:ascii="Arial" w:hAnsi="Arial" w:cs="Arial"/>
                <w:bCs/>
                <w:color w:val="A6A6A6" w:themeColor="background1" w:themeShade="A6"/>
                <w:sz w:val="22"/>
              </w:rPr>
              <w:t>MANTA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2"/>
              </w:rPr>
              <w:t>, CDLA UNIVERSITARIA CALLE U2</w:t>
            </w:r>
          </w:p>
          <w:p w14:paraId="751910F8" w14:textId="60EA61B3" w:rsidR="005B10BF" w:rsidRPr="00805BB3" w:rsidRDefault="00805BB3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Cs/>
                <w:sz w:val="22"/>
              </w:rPr>
            </w:pPr>
            <w:r w:rsidRPr="00805BB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2"/>
              </w:rPr>
              <w:t>(</w:t>
            </w:r>
            <w:r w:rsidRPr="00CE345E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</w:rPr>
              <w:t xml:space="preserve">Declarado en el Sistema de Gestión de Talento Humano </w:t>
            </w:r>
            <w:r w:rsidR="00CE345E" w:rsidRPr="00CE345E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</w:rPr>
              <w:t>https://apptalentohumano.uleam.edu.ec/menu/</w:t>
            </w:r>
            <w:r w:rsidRPr="00805BB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2"/>
              </w:rPr>
              <w:t>)</w:t>
            </w:r>
          </w:p>
        </w:tc>
      </w:tr>
    </w:tbl>
    <w:p w14:paraId="0B0B23DF" w14:textId="77777777" w:rsidR="00CD5093" w:rsidRDefault="00CD5093" w:rsidP="00CD5093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2"/>
        </w:rPr>
      </w:pPr>
    </w:p>
    <w:p w14:paraId="5B22F2EC" w14:textId="456BCAC6" w:rsidR="00CD5093" w:rsidRDefault="00CD5093" w:rsidP="00CD5093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t>Datos del título de 3er nivel</w:t>
      </w:r>
      <w:r>
        <w:rPr>
          <w:rFonts w:ascii="Arial" w:hAnsi="Arial" w:cs="Arial"/>
          <w:b/>
          <w:sz w:val="22"/>
        </w:rPr>
        <w:t xml:space="preserve"> </w:t>
      </w:r>
    </w:p>
    <w:p w14:paraId="66CE2551" w14:textId="77777777" w:rsidR="00CD5093" w:rsidRPr="008916A4" w:rsidRDefault="00CD5093" w:rsidP="00CD5093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4"/>
          <w:szCs w:val="24"/>
        </w:rPr>
      </w:pPr>
      <w:r w:rsidRPr="008916A4">
        <w:rPr>
          <w:rFonts w:ascii="Arial" w:hAnsi="Arial" w:cs="Arial"/>
          <w:bCs/>
          <w:i/>
          <w:iCs/>
          <w:color w:val="A6A6A6" w:themeColor="background1" w:themeShade="A6"/>
          <w:sz w:val="16"/>
          <w:szCs w:val="16"/>
        </w:rPr>
        <w:t>(https://www.senescyt.gob.ec/consulta-titulos-web/faces/vista/consulta/consulta.xhtml)</w:t>
      </w:r>
    </w:p>
    <w:p w14:paraId="2F37E229" w14:textId="77777777" w:rsidR="00CD5093" w:rsidRDefault="00CD5093" w:rsidP="00CD5093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Ind w:w="327" w:type="dxa"/>
        <w:tblLook w:val="04A0" w:firstRow="1" w:lastRow="0" w:firstColumn="1" w:lastColumn="0" w:noHBand="0" w:noVBand="1"/>
      </w:tblPr>
      <w:tblGrid>
        <w:gridCol w:w="2225"/>
        <w:gridCol w:w="6090"/>
      </w:tblGrid>
      <w:tr w:rsidR="00CD5093" w:rsidRPr="008916A4" w14:paraId="33B42CE6" w14:textId="77777777" w:rsidTr="00F17C24">
        <w:tc>
          <w:tcPr>
            <w:tcW w:w="2225" w:type="dxa"/>
            <w:tcBorders>
              <w:top w:val="single" w:sz="4" w:space="0" w:color="auto"/>
            </w:tcBorders>
          </w:tcPr>
          <w:p w14:paraId="6AF088D7" w14:textId="77777777" w:rsidR="00CD5093" w:rsidRPr="00A322D7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Titulo completo:</w:t>
            </w:r>
          </w:p>
        </w:tc>
        <w:tc>
          <w:tcPr>
            <w:tcW w:w="6090" w:type="dxa"/>
            <w:tcBorders>
              <w:top w:val="single" w:sz="4" w:space="0" w:color="auto"/>
            </w:tcBorders>
          </w:tcPr>
          <w:p w14:paraId="28BE9DB0" w14:textId="77777777" w:rsidR="00CD5093" w:rsidRPr="008916A4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INGENIERO EN SISTEMAS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  <w:tr w:rsidR="00CD5093" w:rsidRPr="008916A4" w14:paraId="47D78647" w14:textId="77777777" w:rsidTr="00F17C24">
        <w:tc>
          <w:tcPr>
            <w:tcW w:w="2225" w:type="dxa"/>
          </w:tcPr>
          <w:p w14:paraId="222B43BB" w14:textId="77777777" w:rsidR="00CD5093" w:rsidRPr="00A322D7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Institución:</w:t>
            </w:r>
          </w:p>
        </w:tc>
        <w:tc>
          <w:tcPr>
            <w:tcW w:w="6090" w:type="dxa"/>
          </w:tcPr>
          <w:p w14:paraId="70D21E0B" w14:textId="77777777" w:rsidR="00CD5093" w:rsidRPr="008916A4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UNIVERSIDAD LAICA ELOY ALFARO DE MANABI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  <w:tr w:rsidR="00CD5093" w:rsidRPr="008916A4" w14:paraId="10671095" w14:textId="77777777" w:rsidTr="00F17C24">
        <w:tc>
          <w:tcPr>
            <w:tcW w:w="2225" w:type="dxa"/>
          </w:tcPr>
          <w:p w14:paraId="32473C6B" w14:textId="77777777" w:rsidR="00CD5093" w:rsidRPr="00A322D7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Registro Senescyt:</w:t>
            </w:r>
          </w:p>
        </w:tc>
        <w:tc>
          <w:tcPr>
            <w:tcW w:w="6090" w:type="dxa"/>
          </w:tcPr>
          <w:p w14:paraId="71E59A8D" w14:textId="77777777" w:rsidR="00CD5093" w:rsidRPr="008916A4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1016-14-1275364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  <w:tr w:rsidR="00CD5093" w:rsidRPr="008916A4" w14:paraId="3F2746EA" w14:textId="77777777" w:rsidTr="00F17C24">
        <w:tc>
          <w:tcPr>
            <w:tcW w:w="2225" w:type="dxa"/>
          </w:tcPr>
          <w:p w14:paraId="5CF3D342" w14:textId="77777777" w:rsidR="00CD5093" w:rsidRPr="00A322D7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Fecha registro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6090" w:type="dxa"/>
          </w:tcPr>
          <w:p w14:paraId="10FC6E7C" w14:textId="77777777" w:rsidR="00CD5093" w:rsidRPr="008916A4" w:rsidRDefault="00CD5093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2014-04-08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</w:tbl>
    <w:p w14:paraId="4F97F9F5" w14:textId="77777777" w:rsidR="00CD5093" w:rsidRDefault="00CD5093" w:rsidP="00CD5093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2"/>
        </w:rPr>
      </w:pPr>
    </w:p>
    <w:p w14:paraId="44FF75D1" w14:textId="40D3E2B4" w:rsidR="00CD5093" w:rsidRDefault="00CD5093" w:rsidP="00CD5093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t xml:space="preserve">Datos del título de </w:t>
      </w:r>
      <w:r>
        <w:rPr>
          <w:rFonts w:ascii="Arial" w:hAnsi="Arial" w:cs="Arial"/>
          <w:b/>
          <w:sz w:val="22"/>
        </w:rPr>
        <w:t>4to</w:t>
      </w:r>
      <w:r w:rsidRPr="00A322D7">
        <w:rPr>
          <w:rFonts w:ascii="Arial" w:hAnsi="Arial" w:cs="Arial"/>
          <w:b/>
          <w:sz w:val="22"/>
        </w:rPr>
        <w:t xml:space="preserve"> nivel</w:t>
      </w:r>
      <w:r>
        <w:rPr>
          <w:rFonts w:ascii="Arial" w:hAnsi="Arial" w:cs="Arial"/>
          <w:b/>
          <w:sz w:val="22"/>
        </w:rPr>
        <w:t xml:space="preserve"> </w:t>
      </w:r>
    </w:p>
    <w:p w14:paraId="1757AD11" w14:textId="77777777" w:rsidR="00CD5093" w:rsidRPr="008916A4" w:rsidRDefault="00CD5093" w:rsidP="00CD5093">
      <w:pPr>
        <w:tabs>
          <w:tab w:val="left" w:pos="142"/>
        </w:tabs>
        <w:spacing w:after="0" w:line="240" w:lineRule="auto"/>
        <w:ind w:left="-103" w:right="0" w:firstLine="0"/>
        <w:jc w:val="left"/>
        <w:rPr>
          <w:rFonts w:ascii="Arial" w:hAnsi="Arial" w:cs="Arial"/>
          <w:b/>
          <w:sz w:val="24"/>
          <w:szCs w:val="24"/>
        </w:rPr>
      </w:pPr>
      <w:r w:rsidRPr="008916A4">
        <w:rPr>
          <w:rFonts w:ascii="Arial" w:hAnsi="Arial" w:cs="Arial"/>
          <w:bCs/>
          <w:i/>
          <w:iCs/>
          <w:color w:val="A6A6A6" w:themeColor="background1" w:themeShade="A6"/>
          <w:sz w:val="16"/>
          <w:szCs w:val="16"/>
        </w:rPr>
        <w:t>(https://www.senescyt.gob.ec/consulta-titulos-web/faces/vista/consulta/consulta.xhtml)</w:t>
      </w:r>
    </w:p>
    <w:p w14:paraId="2FF7ECF9" w14:textId="19972C5C" w:rsidR="00F32D15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Ind w:w="327" w:type="dxa"/>
        <w:tblLook w:val="04A0" w:firstRow="1" w:lastRow="0" w:firstColumn="1" w:lastColumn="0" w:noHBand="0" w:noVBand="1"/>
      </w:tblPr>
      <w:tblGrid>
        <w:gridCol w:w="2225"/>
        <w:gridCol w:w="6090"/>
      </w:tblGrid>
      <w:tr w:rsidR="008916A4" w:rsidRPr="008916A4" w14:paraId="7F6F0A22" w14:textId="77777777" w:rsidTr="00F17C24">
        <w:tc>
          <w:tcPr>
            <w:tcW w:w="2225" w:type="dxa"/>
            <w:tcBorders>
              <w:top w:val="single" w:sz="4" w:space="0" w:color="auto"/>
            </w:tcBorders>
          </w:tcPr>
          <w:p w14:paraId="46056968" w14:textId="77777777" w:rsidR="008916A4" w:rsidRPr="00A322D7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Titulo completo:</w:t>
            </w:r>
          </w:p>
        </w:tc>
        <w:tc>
          <w:tcPr>
            <w:tcW w:w="6090" w:type="dxa"/>
            <w:tcBorders>
              <w:top w:val="single" w:sz="4" w:space="0" w:color="auto"/>
            </w:tcBorders>
          </w:tcPr>
          <w:p w14:paraId="58A9A6C0" w14:textId="21F793F3" w:rsidR="008916A4" w:rsidRPr="008916A4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MÁSTER UNIVERSITARIO EN DISEÑO Y GESTION DE PROYECTOS TECNOLOGICOS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  <w:tr w:rsidR="008916A4" w:rsidRPr="008916A4" w14:paraId="4D0114AC" w14:textId="77777777" w:rsidTr="00F17C24">
        <w:tc>
          <w:tcPr>
            <w:tcW w:w="2225" w:type="dxa"/>
          </w:tcPr>
          <w:p w14:paraId="61E4BA41" w14:textId="77777777" w:rsidR="008916A4" w:rsidRPr="00A322D7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Institución:</w:t>
            </w:r>
          </w:p>
        </w:tc>
        <w:tc>
          <w:tcPr>
            <w:tcW w:w="6090" w:type="dxa"/>
          </w:tcPr>
          <w:p w14:paraId="1ECA2BDA" w14:textId="103BE07A" w:rsidR="008916A4" w:rsidRPr="008916A4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UNIVERSIDAD INTERNACIONAL DE LA RIOJA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  <w:tr w:rsidR="008916A4" w:rsidRPr="008916A4" w14:paraId="36A8BE36" w14:textId="77777777" w:rsidTr="00F17C24">
        <w:tc>
          <w:tcPr>
            <w:tcW w:w="2225" w:type="dxa"/>
          </w:tcPr>
          <w:p w14:paraId="3D82F974" w14:textId="77777777" w:rsidR="008916A4" w:rsidRPr="00A322D7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Registro Senescyt:</w:t>
            </w:r>
          </w:p>
        </w:tc>
        <w:tc>
          <w:tcPr>
            <w:tcW w:w="6090" w:type="dxa"/>
          </w:tcPr>
          <w:p w14:paraId="64A8B15A" w14:textId="5C94B951" w:rsidR="008916A4" w:rsidRPr="008916A4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7241141822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  <w:tr w:rsidR="008916A4" w:rsidRPr="008916A4" w14:paraId="7345FD76" w14:textId="77777777" w:rsidTr="00F17C24">
        <w:tc>
          <w:tcPr>
            <w:tcW w:w="2225" w:type="dxa"/>
          </w:tcPr>
          <w:p w14:paraId="0295E268" w14:textId="77777777" w:rsidR="008916A4" w:rsidRPr="00A322D7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Fecha registro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6090" w:type="dxa"/>
          </w:tcPr>
          <w:p w14:paraId="4B1B5984" w14:textId="1138AB39" w:rsidR="008916A4" w:rsidRPr="008916A4" w:rsidRDefault="008916A4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>2019-03-08</w:t>
            </w:r>
            <w:r w:rsidRPr="008916A4">
              <w:rPr>
                <w:rFonts w:ascii="Arial" w:hAnsi="Arial" w:cs="Arial"/>
                <w:color w:val="A6A6A6" w:themeColor="background1" w:themeShade="A6"/>
                <w:sz w:val="22"/>
              </w:rPr>
              <w:tab/>
            </w:r>
          </w:p>
        </w:tc>
      </w:tr>
    </w:tbl>
    <w:p w14:paraId="2F9B1648" w14:textId="77777777" w:rsidR="00F32D15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6BB29136" w14:textId="500D9CCB" w:rsidR="00B2278D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t>Dedicación y remuneración</w:t>
      </w:r>
    </w:p>
    <w:p w14:paraId="3C79A247" w14:textId="77777777" w:rsidR="00F32D15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F32247" w:rsidRPr="00A322D7" w14:paraId="17F7DBD7" w14:textId="77777777" w:rsidTr="00312F55">
        <w:tc>
          <w:tcPr>
            <w:tcW w:w="2835" w:type="dxa"/>
            <w:tcBorders>
              <w:top w:val="single" w:sz="4" w:space="0" w:color="auto"/>
            </w:tcBorders>
          </w:tcPr>
          <w:p w14:paraId="40687017" w14:textId="6F23F7AF" w:rsidR="00F32247" w:rsidRPr="00A322D7" w:rsidRDefault="00F32247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Puesto: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1A0FC33" w14:textId="48813B34" w:rsidR="00F32247" w:rsidRPr="00CD5093" w:rsidRDefault="00F32247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F32247">
              <w:rPr>
                <w:rFonts w:ascii="Arial" w:hAnsi="Arial" w:cs="Arial"/>
                <w:color w:val="A6A6A6" w:themeColor="background1" w:themeShade="A6"/>
                <w:sz w:val="22"/>
              </w:rPr>
              <w:t>PROFESOR PRINCIPAL/AGREGADO/AUXILIAR</w:t>
            </w:r>
          </w:p>
        </w:tc>
      </w:tr>
      <w:tr w:rsidR="00F32247" w:rsidRPr="00A322D7" w14:paraId="39B1D030" w14:textId="77777777" w:rsidTr="00312F55">
        <w:tc>
          <w:tcPr>
            <w:tcW w:w="2835" w:type="dxa"/>
            <w:tcBorders>
              <w:top w:val="single" w:sz="4" w:space="0" w:color="auto"/>
            </w:tcBorders>
          </w:tcPr>
          <w:p w14:paraId="0B338DAC" w14:textId="18C82DA5" w:rsidR="00F32247" w:rsidRPr="00A322D7" w:rsidRDefault="00F32247" w:rsidP="00F32247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Dedicación: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3CEA58C" w14:textId="528BBFAC" w:rsidR="00F32247" w:rsidRPr="00CD5093" w:rsidRDefault="00F32247" w:rsidP="00F32247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CD5093">
              <w:rPr>
                <w:rFonts w:ascii="Arial" w:hAnsi="Arial" w:cs="Arial"/>
                <w:color w:val="A6A6A6" w:themeColor="background1" w:themeShade="A6"/>
                <w:sz w:val="22"/>
              </w:rPr>
              <w:t>TIEMPO COMPLETO</w:t>
            </w:r>
          </w:p>
        </w:tc>
      </w:tr>
      <w:tr w:rsidR="00F32D15" w:rsidRPr="00A322D7" w14:paraId="092A5F5D" w14:textId="77777777" w:rsidTr="00312F55">
        <w:tc>
          <w:tcPr>
            <w:tcW w:w="2835" w:type="dxa"/>
          </w:tcPr>
          <w:p w14:paraId="48234771" w14:textId="77777777" w:rsidR="00F32D15" w:rsidRPr="00A322D7" w:rsidRDefault="00F32D15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>Remuneración:</w:t>
            </w:r>
          </w:p>
        </w:tc>
        <w:tc>
          <w:tcPr>
            <w:tcW w:w="5528" w:type="dxa"/>
          </w:tcPr>
          <w:p w14:paraId="0C78964A" w14:textId="36AE3A4E" w:rsidR="00F32D15" w:rsidRPr="00CD5093" w:rsidRDefault="00CD5093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 w:rsidRPr="00CD5093">
              <w:rPr>
                <w:rFonts w:ascii="Arial" w:hAnsi="Arial" w:cs="Arial"/>
                <w:color w:val="A6A6A6" w:themeColor="background1" w:themeShade="A6"/>
                <w:sz w:val="22"/>
              </w:rPr>
              <w:t>2967.00</w:t>
            </w:r>
          </w:p>
        </w:tc>
      </w:tr>
      <w:tr w:rsidR="00CD5093" w:rsidRPr="00A322D7" w14:paraId="6B58AC16" w14:textId="77777777" w:rsidTr="00312F55">
        <w:tc>
          <w:tcPr>
            <w:tcW w:w="2835" w:type="dxa"/>
          </w:tcPr>
          <w:p w14:paraId="39993B64" w14:textId="5C7F5FD9" w:rsidR="00CD5093" w:rsidRPr="00A322D7" w:rsidRDefault="00CD5093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Nro. Acción de personal</w:t>
            </w:r>
            <w:r w:rsidRPr="00A322D7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528" w:type="dxa"/>
          </w:tcPr>
          <w:p w14:paraId="74E0B3A5" w14:textId="089D5938" w:rsidR="00CD5093" w:rsidRPr="00CD5093" w:rsidRDefault="00D2331E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Nom.-UATH-001</w:t>
            </w:r>
          </w:p>
        </w:tc>
      </w:tr>
      <w:tr w:rsidR="00CD5093" w:rsidRPr="00A322D7" w14:paraId="5585D90B" w14:textId="77777777" w:rsidTr="00312F55">
        <w:tc>
          <w:tcPr>
            <w:tcW w:w="2835" w:type="dxa"/>
          </w:tcPr>
          <w:p w14:paraId="68F351ED" w14:textId="52167691" w:rsidR="00CD5093" w:rsidRPr="00A322D7" w:rsidRDefault="00CD5093" w:rsidP="00312F55">
            <w:p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A322D7">
              <w:rPr>
                <w:rFonts w:ascii="Arial" w:hAnsi="Arial" w:cs="Arial"/>
                <w:b/>
                <w:sz w:val="22"/>
              </w:rPr>
              <w:t xml:space="preserve">Fecha </w:t>
            </w:r>
            <w:r w:rsidR="00312F55">
              <w:rPr>
                <w:rFonts w:ascii="Arial" w:hAnsi="Arial" w:cs="Arial"/>
                <w:b/>
                <w:sz w:val="22"/>
              </w:rPr>
              <w:t>de inicio que rige acción:</w:t>
            </w:r>
          </w:p>
        </w:tc>
        <w:tc>
          <w:tcPr>
            <w:tcW w:w="5528" w:type="dxa"/>
          </w:tcPr>
          <w:p w14:paraId="26563D99" w14:textId="344E31D5" w:rsidR="00CD5093" w:rsidRPr="00CD5093" w:rsidRDefault="00D2331E" w:rsidP="00C818C2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11/08/2014</w:t>
            </w:r>
          </w:p>
        </w:tc>
      </w:tr>
    </w:tbl>
    <w:p w14:paraId="43CEBE9B" w14:textId="77777777" w:rsidR="00F32D15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</w:p>
    <w:p w14:paraId="62C70767" w14:textId="718DD428" w:rsidR="00312DD0" w:rsidRDefault="00563DDD" w:rsidP="00563DDD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Datos de la movilidad </w:t>
      </w:r>
    </w:p>
    <w:p w14:paraId="546121E2" w14:textId="2D5DB910" w:rsidR="00563DDD" w:rsidRDefault="00563DDD" w:rsidP="00312DD0">
      <w:pPr>
        <w:pStyle w:val="Prrafodelista"/>
        <w:tabs>
          <w:tab w:val="left" w:pos="142"/>
        </w:tabs>
        <w:spacing w:after="0" w:line="240" w:lineRule="auto"/>
        <w:ind w:left="284" w:right="0" w:firstLine="0"/>
        <w:jc w:val="left"/>
        <w:rPr>
          <w:rFonts w:ascii="Arial" w:hAnsi="Arial" w:cs="Arial"/>
          <w:b/>
          <w:sz w:val="22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3260"/>
        <w:gridCol w:w="5387"/>
      </w:tblGrid>
      <w:tr w:rsidR="00563DDD" w14:paraId="3BA7CC5A" w14:textId="77777777" w:rsidTr="00312F55">
        <w:tc>
          <w:tcPr>
            <w:tcW w:w="3260" w:type="dxa"/>
          </w:tcPr>
          <w:p w14:paraId="78D043BE" w14:textId="77777777" w:rsidR="00563DDD" w:rsidRPr="00A322D7" w:rsidRDefault="00563DDD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Unidad Académica origen:</w:t>
            </w:r>
          </w:p>
        </w:tc>
        <w:tc>
          <w:tcPr>
            <w:tcW w:w="5387" w:type="dxa"/>
          </w:tcPr>
          <w:p w14:paraId="68C3D3F8" w14:textId="2CA53567" w:rsidR="00563DDD" w:rsidRDefault="00312F55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FACULTAD DE CIENCIAS INFORMÁTICAS</w:t>
            </w:r>
          </w:p>
        </w:tc>
      </w:tr>
      <w:tr w:rsidR="00563DDD" w14:paraId="53EF04B3" w14:textId="77777777" w:rsidTr="00312F55">
        <w:tc>
          <w:tcPr>
            <w:tcW w:w="3260" w:type="dxa"/>
          </w:tcPr>
          <w:p w14:paraId="2F576AD1" w14:textId="77777777" w:rsidR="00563DDD" w:rsidRPr="00A322D7" w:rsidRDefault="00563DDD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Ubicación geográfica Unidad Académica origen:</w:t>
            </w:r>
          </w:p>
        </w:tc>
        <w:tc>
          <w:tcPr>
            <w:tcW w:w="5387" w:type="dxa"/>
          </w:tcPr>
          <w:p w14:paraId="47A9B0C3" w14:textId="33480E7C" w:rsidR="00563DDD" w:rsidRDefault="00312F55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MANTA, VÍA CIRCUNVALACIÓN.</w:t>
            </w:r>
          </w:p>
        </w:tc>
      </w:tr>
      <w:tr w:rsidR="00563DDD" w14:paraId="6A66AE79" w14:textId="77777777" w:rsidTr="00312F55">
        <w:tc>
          <w:tcPr>
            <w:tcW w:w="3260" w:type="dxa"/>
          </w:tcPr>
          <w:p w14:paraId="13943B65" w14:textId="77777777" w:rsidR="00563DDD" w:rsidRPr="00A322D7" w:rsidRDefault="00563DDD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Unidad Académica destino:</w:t>
            </w:r>
          </w:p>
        </w:tc>
        <w:tc>
          <w:tcPr>
            <w:tcW w:w="5387" w:type="dxa"/>
          </w:tcPr>
          <w:p w14:paraId="38B7488A" w14:textId="052AA8EC" w:rsidR="00563DDD" w:rsidRDefault="00312F55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FACULTAD DE CIENCIAS DE LA COMUNICACIÓN</w:t>
            </w:r>
          </w:p>
        </w:tc>
      </w:tr>
      <w:tr w:rsidR="00563DDD" w14:paraId="17EDEF6A" w14:textId="77777777" w:rsidTr="00312F55">
        <w:tc>
          <w:tcPr>
            <w:tcW w:w="3260" w:type="dxa"/>
          </w:tcPr>
          <w:p w14:paraId="004037B8" w14:textId="77777777" w:rsidR="00563DDD" w:rsidRPr="00A322D7" w:rsidRDefault="00563DDD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Ubicación geográfica Unidad Académica destino:</w:t>
            </w:r>
          </w:p>
        </w:tc>
        <w:tc>
          <w:tcPr>
            <w:tcW w:w="5387" w:type="dxa"/>
          </w:tcPr>
          <w:p w14:paraId="3AA64691" w14:textId="00079BC8" w:rsidR="00563DDD" w:rsidRDefault="00312F55" w:rsidP="00F17C24">
            <w:pPr>
              <w:tabs>
                <w:tab w:val="left" w:pos="142"/>
              </w:tabs>
              <w:spacing w:after="0" w:line="240" w:lineRule="auto"/>
              <w:ind w:right="0" w:firstLine="0"/>
              <w:rPr>
                <w:rFonts w:ascii="Arial" w:hAnsi="Arial" w:cs="Arial"/>
                <w:color w:val="A6A6A6" w:themeColor="background1" w:themeShade="A6"/>
                <w:sz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</w:rPr>
              <w:t>MANTA, VÍA CIRCUNVALACIÓN.</w:t>
            </w:r>
          </w:p>
        </w:tc>
      </w:tr>
    </w:tbl>
    <w:p w14:paraId="7F916C1B" w14:textId="08ED4B16" w:rsidR="00563DDD" w:rsidRDefault="00563DDD" w:rsidP="00312DD0">
      <w:pPr>
        <w:pStyle w:val="Prrafodelista"/>
        <w:tabs>
          <w:tab w:val="left" w:pos="142"/>
        </w:tabs>
        <w:spacing w:after="0" w:line="240" w:lineRule="auto"/>
        <w:ind w:left="284" w:right="0" w:firstLine="0"/>
        <w:jc w:val="left"/>
        <w:rPr>
          <w:rFonts w:ascii="Arial" w:hAnsi="Arial" w:cs="Arial"/>
          <w:b/>
          <w:sz w:val="22"/>
        </w:rPr>
      </w:pPr>
    </w:p>
    <w:p w14:paraId="12664776" w14:textId="77777777" w:rsidR="00563DDD" w:rsidRDefault="00563DDD" w:rsidP="00312DD0">
      <w:pPr>
        <w:pStyle w:val="Prrafodelista"/>
        <w:tabs>
          <w:tab w:val="left" w:pos="142"/>
        </w:tabs>
        <w:spacing w:after="0" w:line="240" w:lineRule="auto"/>
        <w:ind w:left="284" w:right="0" w:firstLine="0"/>
        <w:jc w:val="left"/>
        <w:rPr>
          <w:rFonts w:ascii="Arial" w:hAnsi="Arial" w:cs="Arial"/>
          <w:b/>
          <w:sz w:val="22"/>
        </w:rPr>
      </w:pPr>
    </w:p>
    <w:p w14:paraId="6D730876" w14:textId="54FA807C" w:rsidR="00D150C1" w:rsidRPr="00A322D7" w:rsidRDefault="00312DD0" w:rsidP="00312DD0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284" w:right="0" w:hanging="284"/>
        <w:jc w:val="left"/>
        <w:rPr>
          <w:rFonts w:ascii="Arial" w:hAnsi="Arial" w:cs="Arial"/>
          <w:b/>
          <w:sz w:val="22"/>
        </w:rPr>
      </w:pPr>
      <w:r w:rsidRPr="00A322D7">
        <w:rPr>
          <w:rFonts w:ascii="Arial" w:hAnsi="Arial" w:cs="Arial"/>
          <w:b/>
          <w:sz w:val="22"/>
        </w:rPr>
        <w:lastRenderedPageBreak/>
        <w:t>DICTAMEN</w:t>
      </w:r>
      <w:r w:rsidR="00DA5108">
        <w:rPr>
          <w:rFonts w:ascii="Arial" w:hAnsi="Arial" w:cs="Arial"/>
          <w:b/>
          <w:sz w:val="22"/>
        </w:rPr>
        <w:t>:</w:t>
      </w:r>
    </w:p>
    <w:p w14:paraId="711893FF" w14:textId="77777777" w:rsidR="00D150C1" w:rsidRPr="00A322D7" w:rsidRDefault="00D150C1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b/>
          <w:sz w:val="22"/>
        </w:rPr>
      </w:pPr>
    </w:p>
    <w:p w14:paraId="30D83E4F" w14:textId="33FDC4FD" w:rsidR="00F32D15" w:rsidRPr="0038398F" w:rsidRDefault="00D150C1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color w:val="A6A6A6" w:themeColor="background1" w:themeShade="A6"/>
          <w:sz w:val="22"/>
        </w:rPr>
      </w:pPr>
      <w:r w:rsidRPr="00A322D7">
        <w:rPr>
          <w:rFonts w:ascii="Arial" w:hAnsi="Arial" w:cs="Arial"/>
          <w:sz w:val="22"/>
        </w:rPr>
        <w:t xml:space="preserve">Por lo antes expuesto, </w:t>
      </w:r>
      <w:r w:rsidR="00F32D15" w:rsidRPr="00A322D7">
        <w:rPr>
          <w:rFonts w:ascii="Arial" w:hAnsi="Arial" w:cs="Arial"/>
          <w:sz w:val="22"/>
        </w:rPr>
        <w:t>y una vez que se ha revisado, verificado y analizado el expediente</w:t>
      </w:r>
      <w:r w:rsidR="001D222B">
        <w:rPr>
          <w:rFonts w:ascii="Arial" w:hAnsi="Arial" w:cs="Arial"/>
          <w:sz w:val="22"/>
        </w:rPr>
        <w:t xml:space="preserve"> físico y digital</w:t>
      </w:r>
      <w:r w:rsidR="00F32D15" w:rsidRPr="00A322D7">
        <w:rPr>
          <w:rFonts w:ascii="Arial" w:hAnsi="Arial" w:cs="Arial"/>
          <w:sz w:val="22"/>
        </w:rPr>
        <w:t xml:space="preserve"> </w:t>
      </w:r>
      <w:r w:rsidR="00F32D15" w:rsidRPr="00A322D7">
        <w:rPr>
          <w:rFonts w:ascii="Arial" w:hAnsi="Arial" w:cs="Arial"/>
          <w:color w:val="7F7F7F" w:themeColor="text1" w:themeTint="80"/>
          <w:sz w:val="22"/>
        </w:rPr>
        <w:t xml:space="preserve">del/la </w:t>
      </w:r>
      <w:r w:rsidR="00F32D15" w:rsidRPr="001D222B">
        <w:rPr>
          <w:rFonts w:ascii="Arial" w:hAnsi="Arial" w:cs="Arial"/>
          <w:color w:val="000000" w:themeColor="text1"/>
          <w:sz w:val="22"/>
        </w:rPr>
        <w:t>solicitante</w:t>
      </w:r>
      <w:r w:rsidR="00F32D15" w:rsidRPr="00A322D7">
        <w:rPr>
          <w:rFonts w:ascii="Arial" w:hAnsi="Arial" w:cs="Arial"/>
          <w:color w:val="7F7F7F" w:themeColor="text1" w:themeTint="80"/>
          <w:sz w:val="22"/>
        </w:rPr>
        <w:t>,</w:t>
      </w:r>
      <w:r w:rsidR="00F32D15" w:rsidRPr="00A322D7">
        <w:rPr>
          <w:rFonts w:ascii="Arial" w:hAnsi="Arial" w:cs="Arial"/>
          <w:color w:val="auto"/>
          <w:sz w:val="22"/>
        </w:rPr>
        <w:t xml:space="preserve"> conjun</w:t>
      </w:r>
      <w:r w:rsidR="00F32D15" w:rsidRPr="00A322D7">
        <w:rPr>
          <w:rFonts w:ascii="Arial" w:hAnsi="Arial" w:cs="Arial"/>
          <w:sz w:val="22"/>
        </w:rPr>
        <w:t>tamente todos los documentos inherentes que respaldan la solicitud de movilidad interna</w:t>
      </w:r>
      <w:r w:rsidR="0038398F">
        <w:rPr>
          <w:rFonts w:ascii="Arial" w:hAnsi="Arial" w:cs="Arial"/>
          <w:sz w:val="22"/>
        </w:rPr>
        <w:t xml:space="preserve"> docente</w:t>
      </w:r>
      <w:r w:rsidR="00E75DB2">
        <w:rPr>
          <w:rFonts w:ascii="Arial" w:hAnsi="Arial" w:cs="Arial"/>
          <w:sz w:val="22"/>
        </w:rPr>
        <w:t xml:space="preserve">, </w:t>
      </w:r>
      <w:r w:rsidRPr="00A322D7">
        <w:rPr>
          <w:rFonts w:ascii="Arial" w:hAnsi="Arial" w:cs="Arial"/>
          <w:sz w:val="22"/>
        </w:rPr>
        <w:t xml:space="preserve">esta Dirección considera </w:t>
      </w:r>
      <w:r w:rsidRPr="00A322D7">
        <w:rPr>
          <w:rFonts w:ascii="Arial" w:hAnsi="Arial" w:cs="Arial"/>
          <w:color w:val="7F7F7F" w:themeColor="text1" w:themeTint="80"/>
          <w:sz w:val="22"/>
        </w:rPr>
        <w:t>procedente</w:t>
      </w:r>
      <w:r w:rsidR="005B10BF" w:rsidRPr="00A322D7">
        <w:rPr>
          <w:rFonts w:ascii="Arial" w:hAnsi="Arial" w:cs="Arial"/>
          <w:color w:val="7F7F7F" w:themeColor="text1" w:themeTint="80"/>
          <w:sz w:val="22"/>
        </w:rPr>
        <w:t>/</w:t>
      </w:r>
      <w:r w:rsidRPr="00A322D7">
        <w:rPr>
          <w:rFonts w:ascii="Arial" w:hAnsi="Arial" w:cs="Arial"/>
          <w:color w:val="7F7F7F" w:themeColor="text1" w:themeTint="80"/>
          <w:sz w:val="22"/>
        </w:rPr>
        <w:t>no procedente</w:t>
      </w:r>
      <w:r w:rsidRPr="00A322D7">
        <w:rPr>
          <w:rFonts w:ascii="Arial" w:hAnsi="Arial" w:cs="Arial"/>
          <w:sz w:val="22"/>
        </w:rPr>
        <w:t xml:space="preserve">, se realice </w:t>
      </w:r>
      <w:r w:rsidR="00E75DB2">
        <w:rPr>
          <w:rFonts w:ascii="Arial" w:hAnsi="Arial" w:cs="Arial"/>
          <w:sz w:val="22"/>
        </w:rPr>
        <w:t>el traslado o</w:t>
      </w:r>
      <w:r w:rsidRPr="00A322D7">
        <w:rPr>
          <w:rFonts w:ascii="Arial" w:hAnsi="Arial" w:cs="Arial"/>
          <w:sz w:val="22"/>
        </w:rPr>
        <w:t xml:space="preserve"> movilidad interna</w:t>
      </w:r>
      <w:r w:rsidR="0038398F">
        <w:rPr>
          <w:rFonts w:ascii="Arial" w:hAnsi="Arial" w:cs="Arial"/>
          <w:sz w:val="22"/>
        </w:rPr>
        <w:t xml:space="preserve"> </w:t>
      </w:r>
      <w:r w:rsidR="00CD3034">
        <w:rPr>
          <w:rFonts w:ascii="Arial" w:hAnsi="Arial" w:cs="Arial"/>
          <w:sz w:val="22"/>
        </w:rPr>
        <w:t xml:space="preserve">del </w:t>
      </w:r>
      <w:r w:rsidR="00CD3034" w:rsidRPr="00CD3034">
        <w:rPr>
          <w:rFonts w:ascii="Arial" w:hAnsi="Arial" w:cs="Arial"/>
          <w:color w:val="A6A6A6" w:themeColor="background1" w:themeShade="A6"/>
          <w:sz w:val="22"/>
        </w:rPr>
        <w:t>Ing.</w:t>
      </w:r>
      <w:r w:rsidRPr="00A322D7">
        <w:rPr>
          <w:rFonts w:ascii="Arial" w:hAnsi="Arial" w:cs="Arial"/>
          <w:sz w:val="22"/>
        </w:rPr>
        <w:t xml:space="preserve"> </w:t>
      </w:r>
      <w:r w:rsidR="0038398F" w:rsidRPr="008F1278">
        <w:rPr>
          <w:rFonts w:ascii="Arial" w:hAnsi="Arial" w:cs="Arial"/>
          <w:color w:val="A6A6A6" w:themeColor="background1" w:themeShade="A6"/>
          <w:sz w:val="22"/>
        </w:rPr>
        <w:t xml:space="preserve">Vélez Fernández Mathías Benjamín </w:t>
      </w:r>
      <w:r w:rsidR="0038398F" w:rsidRPr="00A24B72">
        <w:rPr>
          <w:rFonts w:ascii="Arial" w:hAnsi="Arial" w:cs="Arial"/>
          <w:i/>
          <w:iCs/>
          <w:color w:val="A6A6A6" w:themeColor="background1" w:themeShade="A6"/>
          <w:sz w:val="22"/>
        </w:rPr>
        <w:t>(apellidos y nombres completos del/la docente solicitante)</w:t>
      </w:r>
      <w:r w:rsidR="005B10BF" w:rsidRPr="00A322D7">
        <w:rPr>
          <w:rFonts w:ascii="Arial" w:hAnsi="Arial" w:cs="Arial"/>
          <w:sz w:val="22"/>
        </w:rPr>
        <w:t xml:space="preserve">, de la </w:t>
      </w:r>
      <w:r w:rsidR="0038398F" w:rsidRPr="0038398F">
        <w:rPr>
          <w:rFonts w:ascii="Arial" w:hAnsi="Arial" w:cs="Arial"/>
          <w:color w:val="A6A6A6" w:themeColor="background1" w:themeShade="A6"/>
          <w:sz w:val="22"/>
        </w:rPr>
        <w:t>F</w:t>
      </w:r>
      <w:r w:rsidR="005B10BF" w:rsidRPr="00A322D7">
        <w:rPr>
          <w:rFonts w:ascii="Arial" w:hAnsi="Arial" w:cs="Arial"/>
          <w:color w:val="7F7F7F" w:themeColor="text1" w:themeTint="80"/>
          <w:sz w:val="22"/>
        </w:rPr>
        <w:t>acultad/extensión</w:t>
      </w:r>
      <w:r w:rsidR="0038398F">
        <w:rPr>
          <w:rFonts w:ascii="Arial" w:hAnsi="Arial" w:cs="Arial"/>
          <w:color w:val="7F7F7F" w:themeColor="text1" w:themeTint="80"/>
          <w:sz w:val="22"/>
        </w:rPr>
        <w:t xml:space="preserve"> </w:t>
      </w:r>
      <w:r w:rsidR="0038398F" w:rsidRPr="005D1F4B">
        <w:rPr>
          <w:rFonts w:ascii="Arial" w:hAnsi="Arial" w:cs="Arial"/>
          <w:sz w:val="22"/>
        </w:rPr>
        <w:t>Carrera</w:t>
      </w:r>
      <w:r w:rsidR="0038398F">
        <w:rPr>
          <w:rFonts w:ascii="Arial" w:hAnsi="Arial" w:cs="Arial"/>
          <w:sz w:val="22"/>
        </w:rPr>
        <w:t xml:space="preserve"> de origen</w:t>
      </w:r>
      <w:r w:rsidR="0038398F" w:rsidRPr="005D1F4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8398F">
        <w:rPr>
          <w:rFonts w:ascii="Arial" w:hAnsi="Arial" w:cs="Arial"/>
          <w:color w:val="A6A6A6" w:themeColor="background1" w:themeShade="A6"/>
          <w:sz w:val="22"/>
        </w:rPr>
        <w:t>Tecnologías de la Información</w:t>
      </w:r>
      <w:r w:rsidR="005B10BF" w:rsidRPr="00A322D7">
        <w:rPr>
          <w:rFonts w:ascii="Arial" w:hAnsi="Arial" w:cs="Arial"/>
          <w:sz w:val="22"/>
        </w:rPr>
        <w:t xml:space="preserve">, hacia la </w:t>
      </w:r>
      <w:r w:rsidR="0038398F" w:rsidRPr="0038398F">
        <w:rPr>
          <w:rFonts w:ascii="Arial" w:hAnsi="Arial" w:cs="Arial"/>
          <w:color w:val="A6A6A6" w:themeColor="background1" w:themeShade="A6"/>
          <w:sz w:val="22"/>
        </w:rPr>
        <w:t>F</w:t>
      </w:r>
      <w:r w:rsidR="0038398F" w:rsidRPr="00A322D7">
        <w:rPr>
          <w:rFonts w:ascii="Arial" w:hAnsi="Arial" w:cs="Arial"/>
          <w:color w:val="7F7F7F" w:themeColor="text1" w:themeTint="80"/>
          <w:sz w:val="22"/>
        </w:rPr>
        <w:t>acultad/extensión</w:t>
      </w:r>
      <w:r w:rsidR="0038398F">
        <w:rPr>
          <w:rFonts w:ascii="Arial" w:hAnsi="Arial" w:cs="Arial"/>
          <w:color w:val="7F7F7F" w:themeColor="text1" w:themeTint="80"/>
          <w:sz w:val="22"/>
        </w:rPr>
        <w:t xml:space="preserve"> </w:t>
      </w:r>
      <w:r w:rsidR="0038398F" w:rsidRPr="005D1F4B">
        <w:rPr>
          <w:rFonts w:ascii="Arial" w:hAnsi="Arial" w:cs="Arial"/>
          <w:sz w:val="22"/>
        </w:rPr>
        <w:t>Carrera</w:t>
      </w:r>
      <w:r w:rsidR="0038398F">
        <w:rPr>
          <w:rFonts w:ascii="Arial" w:hAnsi="Arial" w:cs="Arial"/>
          <w:sz w:val="22"/>
        </w:rPr>
        <w:t xml:space="preserve"> de destino </w:t>
      </w:r>
      <w:r w:rsidR="0038398F" w:rsidRPr="0038398F">
        <w:rPr>
          <w:rFonts w:ascii="Arial" w:hAnsi="Arial" w:cs="Arial"/>
          <w:color w:val="A6A6A6" w:themeColor="background1" w:themeShade="A6"/>
          <w:sz w:val="22"/>
        </w:rPr>
        <w:t>Publicidad y Mercadotecnia</w:t>
      </w:r>
      <w:r w:rsidR="0038398F">
        <w:rPr>
          <w:rFonts w:ascii="Arial" w:hAnsi="Arial" w:cs="Arial"/>
          <w:color w:val="A6A6A6" w:themeColor="background1" w:themeShade="A6"/>
          <w:sz w:val="22"/>
        </w:rPr>
        <w:t>.</w:t>
      </w:r>
    </w:p>
    <w:p w14:paraId="72DB1A4A" w14:textId="77777777" w:rsidR="001E0B4E" w:rsidRPr="00A322D7" w:rsidRDefault="001E0B4E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</w:p>
    <w:p w14:paraId="676FDFB9" w14:textId="77777777" w:rsidR="00F32D15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</w:p>
    <w:p w14:paraId="49E69B24" w14:textId="75C411DA" w:rsidR="00B2278D" w:rsidRPr="001C63D4" w:rsidRDefault="00B2278D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color w:val="A6A6A6" w:themeColor="background1" w:themeShade="A6"/>
          <w:sz w:val="22"/>
        </w:rPr>
      </w:pPr>
      <w:r w:rsidRPr="001C63D4">
        <w:rPr>
          <w:rFonts w:ascii="Arial" w:hAnsi="Arial" w:cs="Arial"/>
          <w:color w:val="A6A6A6" w:themeColor="background1" w:themeShade="A6"/>
          <w:sz w:val="22"/>
        </w:rPr>
        <w:t xml:space="preserve">(título académico) (nombre </w:t>
      </w:r>
      <w:r w:rsidR="001C63D4" w:rsidRPr="001C63D4">
        <w:rPr>
          <w:rFonts w:ascii="Arial" w:hAnsi="Arial" w:cs="Arial"/>
          <w:color w:val="A6A6A6" w:themeColor="background1" w:themeShade="A6"/>
          <w:sz w:val="22"/>
        </w:rPr>
        <w:t xml:space="preserve">de </w:t>
      </w:r>
      <w:r w:rsidR="005B10BF" w:rsidRPr="001C63D4">
        <w:rPr>
          <w:rFonts w:ascii="Arial" w:hAnsi="Arial" w:cs="Arial"/>
          <w:color w:val="A6A6A6" w:themeColor="background1" w:themeShade="A6"/>
          <w:sz w:val="22"/>
        </w:rPr>
        <w:t>director</w:t>
      </w:r>
      <w:r w:rsidRPr="001C63D4">
        <w:rPr>
          <w:rFonts w:ascii="Arial" w:hAnsi="Arial" w:cs="Arial"/>
          <w:color w:val="A6A6A6" w:themeColor="background1" w:themeShade="A6"/>
          <w:sz w:val="22"/>
        </w:rPr>
        <w:t>/a</w:t>
      </w:r>
      <w:r w:rsidR="001C63D4" w:rsidRPr="001C63D4">
        <w:rPr>
          <w:rFonts w:ascii="Arial" w:hAnsi="Arial" w:cs="Arial"/>
          <w:color w:val="A6A6A6" w:themeColor="background1" w:themeShade="A6"/>
          <w:sz w:val="22"/>
        </w:rPr>
        <w:t>)</w:t>
      </w:r>
    </w:p>
    <w:p w14:paraId="2EDA933D" w14:textId="3D630710" w:rsidR="00B2278D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  <w:r w:rsidRPr="00A322D7">
        <w:rPr>
          <w:rFonts w:ascii="Arial" w:hAnsi="Arial" w:cs="Arial"/>
          <w:sz w:val="22"/>
        </w:rPr>
        <w:t>Director/a de A</w:t>
      </w:r>
      <w:r w:rsidR="001C63D4">
        <w:rPr>
          <w:rFonts w:ascii="Arial" w:hAnsi="Arial" w:cs="Arial"/>
          <w:sz w:val="22"/>
        </w:rPr>
        <w:t xml:space="preserve">dministración de </w:t>
      </w:r>
      <w:r w:rsidRPr="00A322D7">
        <w:rPr>
          <w:rFonts w:ascii="Arial" w:hAnsi="Arial" w:cs="Arial"/>
          <w:sz w:val="22"/>
        </w:rPr>
        <w:t>T</w:t>
      </w:r>
      <w:r w:rsidR="001C63D4">
        <w:rPr>
          <w:rFonts w:ascii="Arial" w:hAnsi="Arial" w:cs="Arial"/>
          <w:sz w:val="22"/>
        </w:rPr>
        <w:t xml:space="preserve">alento </w:t>
      </w:r>
      <w:r w:rsidRPr="00A322D7">
        <w:rPr>
          <w:rFonts w:ascii="Arial" w:hAnsi="Arial" w:cs="Arial"/>
          <w:sz w:val="22"/>
        </w:rPr>
        <w:t>H</w:t>
      </w:r>
      <w:r w:rsidR="001C63D4">
        <w:rPr>
          <w:rFonts w:ascii="Arial" w:hAnsi="Arial" w:cs="Arial"/>
          <w:sz w:val="22"/>
        </w:rPr>
        <w:t>umano</w:t>
      </w:r>
    </w:p>
    <w:p w14:paraId="662CD796" w14:textId="77777777" w:rsidR="00F32D15" w:rsidRPr="00A322D7" w:rsidRDefault="00F32D15" w:rsidP="00C818C2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</w:p>
    <w:tbl>
      <w:tblPr>
        <w:tblStyle w:val="Tablaconcuadrcula3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162"/>
        <w:gridCol w:w="2377"/>
      </w:tblGrid>
      <w:tr w:rsidR="00A322D7" w:rsidRPr="00A322D7" w14:paraId="74521F29" w14:textId="77777777" w:rsidTr="001C63D4">
        <w:trPr>
          <w:trHeight w:val="132"/>
        </w:trPr>
        <w:tc>
          <w:tcPr>
            <w:tcW w:w="1162" w:type="dxa"/>
          </w:tcPr>
          <w:p w14:paraId="615773C0" w14:textId="77777777" w:rsidR="00A322D7" w:rsidRPr="00A322D7" w:rsidRDefault="00A322D7" w:rsidP="00A322D7">
            <w:pPr>
              <w:tabs>
                <w:tab w:val="left" w:pos="142"/>
                <w:tab w:val="left" w:pos="540"/>
              </w:tabs>
              <w:spacing w:after="0" w:line="240" w:lineRule="auto"/>
              <w:ind w:left="-57" w:right="-113" w:firstLine="0"/>
              <w:jc w:val="left"/>
              <w:rPr>
                <w:rFonts w:ascii="Arial" w:eastAsia="Calibri" w:hAnsi="Arial" w:cs="Arial"/>
                <w:color w:val="auto"/>
                <w:sz w:val="14"/>
                <w:szCs w:val="14"/>
              </w:rPr>
            </w:pPr>
            <w:r w:rsidRPr="00A322D7">
              <w:rPr>
                <w:rFonts w:ascii="Arial" w:eastAsia="Calibri" w:hAnsi="Arial" w:cs="Arial"/>
                <w:color w:val="auto"/>
                <w:sz w:val="14"/>
                <w:szCs w:val="14"/>
              </w:rPr>
              <w:t>Elaborado por:</w:t>
            </w:r>
          </w:p>
        </w:tc>
        <w:tc>
          <w:tcPr>
            <w:tcW w:w="2377" w:type="dxa"/>
          </w:tcPr>
          <w:p w14:paraId="730079EB" w14:textId="3E4B4349" w:rsidR="00A322D7" w:rsidRPr="00A322D7" w:rsidRDefault="001C63D4" w:rsidP="00A322D7">
            <w:pPr>
              <w:tabs>
                <w:tab w:val="left" w:pos="142"/>
                <w:tab w:val="left" w:pos="540"/>
              </w:tabs>
              <w:spacing w:after="0" w:line="240" w:lineRule="auto"/>
              <w:ind w:left="-57" w:right="-113" w:firstLine="0"/>
              <w:jc w:val="left"/>
              <w:rPr>
                <w:rFonts w:ascii="Arial" w:eastAsia="Calibri" w:hAnsi="Arial" w:cs="Arial"/>
                <w:color w:val="auto"/>
                <w:sz w:val="14"/>
                <w:szCs w:val="14"/>
              </w:rPr>
            </w:pPr>
            <w:r w:rsidRPr="001C63D4">
              <w:rPr>
                <w:rFonts w:ascii="Arial" w:eastAsia="Calibri" w:hAnsi="Arial" w:cs="Arial"/>
                <w:color w:val="A6A6A6" w:themeColor="background1" w:themeShade="A6"/>
                <w:sz w:val="14"/>
                <w:szCs w:val="14"/>
              </w:rPr>
              <w:t>Ing. Alejandra De León Limongi</w:t>
            </w:r>
          </w:p>
        </w:tc>
      </w:tr>
    </w:tbl>
    <w:p w14:paraId="1709AA8E" w14:textId="77777777" w:rsidR="00B2278D" w:rsidRPr="00A322D7" w:rsidRDefault="00B2278D" w:rsidP="001C63D4">
      <w:pPr>
        <w:tabs>
          <w:tab w:val="left" w:pos="142"/>
        </w:tabs>
        <w:spacing w:after="0" w:line="240" w:lineRule="auto"/>
        <w:ind w:right="0" w:firstLine="0"/>
        <w:rPr>
          <w:rFonts w:ascii="Arial" w:hAnsi="Arial" w:cs="Arial"/>
          <w:sz w:val="22"/>
        </w:rPr>
      </w:pPr>
    </w:p>
    <w:sectPr w:rsidR="00B2278D" w:rsidRPr="00A322D7" w:rsidSect="00CD3034">
      <w:headerReference w:type="default" r:id="rId10"/>
      <w:pgSz w:w="11904" w:h="16840"/>
      <w:pgMar w:top="1418" w:right="1418" w:bottom="567" w:left="1701" w:header="737" w:footer="113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BC73" w14:textId="77777777" w:rsidR="00CC0383" w:rsidRDefault="00CC0383" w:rsidP="00391C98">
      <w:pPr>
        <w:spacing w:after="0" w:line="240" w:lineRule="auto"/>
      </w:pPr>
      <w:r>
        <w:separator/>
      </w:r>
    </w:p>
  </w:endnote>
  <w:endnote w:type="continuationSeparator" w:id="0">
    <w:p w14:paraId="03DA0DEC" w14:textId="77777777" w:rsidR="00CC0383" w:rsidRDefault="00CC0383" w:rsidP="0039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4A0D" w14:textId="77777777" w:rsidR="00CC0383" w:rsidRDefault="00CC0383" w:rsidP="00391C98">
      <w:pPr>
        <w:spacing w:after="0" w:line="240" w:lineRule="auto"/>
      </w:pPr>
      <w:r>
        <w:separator/>
      </w:r>
    </w:p>
  </w:footnote>
  <w:footnote w:type="continuationSeparator" w:id="0">
    <w:p w14:paraId="0C6F6556" w14:textId="77777777" w:rsidR="00CC0383" w:rsidRDefault="00CC0383" w:rsidP="0039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642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961"/>
      <w:gridCol w:w="2410"/>
    </w:tblGrid>
    <w:tr w:rsidR="0021431B" w:rsidRPr="00391C98" w14:paraId="6FD8B73E" w14:textId="77777777" w:rsidTr="00241BE0">
      <w:trPr>
        <w:trHeight w:val="283"/>
        <w:jc w:val="center"/>
      </w:trPr>
      <w:tc>
        <w:tcPr>
          <w:tcW w:w="1271" w:type="dxa"/>
          <w:vMerge w:val="restart"/>
        </w:tcPr>
        <w:p w14:paraId="6C3F112B" w14:textId="77777777" w:rsidR="0021431B" w:rsidRPr="00391C98" w:rsidRDefault="0021431B" w:rsidP="00391C98">
          <w:pPr>
            <w:spacing w:after="0" w:line="276" w:lineRule="auto"/>
            <w:ind w:right="0" w:firstLine="0"/>
            <w:jc w:val="center"/>
            <w:rPr>
              <w:rFonts w:ascii="Calibri" w:eastAsia="Calibri" w:hAnsi="Calibri" w:cs="Times New Roman"/>
              <w:color w:val="auto"/>
              <w:sz w:val="22"/>
              <w:lang w:val="es-ES"/>
            </w:rPr>
          </w:pPr>
          <w:r w:rsidRPr="00391C98">
            <w:rPr>
              <w:rFonts w:ascii="Calibri" w:eastAsia="Calibri" w:hAnsi="Calibri" w:cs="Times New Roman"/>
              <w:noProof/>
              <w:color w:val="auto"/>
              <w:sz w:val="22"/>
            </w:rPr>
            <w:drawing>
              <wp:inline distT="0" distB="0" distL="0" distR="0" wp14:anchorId="27DB93E4" wp14:editId="3E3237C0">
                <wp:extent cx="676275" cy="629920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ule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759" cy="63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bottom w:val="nil"/>
          </w:tcBorders>
          <w:vAlign w:val="center"/>
        </w:tcPr>
        <w:p w14:paraId="4A82A066" w14:textId="77777777" w:rsidR="0021431B" w:rsidRPr="00241BE0" w:rsidRDefault="0021431B" w:rsidP="00391C98">
          <w:pPr>
            <w:spacing w:after="0" w:line="276" w:lineRule="auto"/>
            <w:ind w:right="0" w:firstLine="0"/>
            <w:jc w:val="left"/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</w:pPr>
          <w:r w:rsidRPr="00241BE0"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410" w:type="dxa"/>
          <w:vMerge w:val="restart"/>
          <w:vAlign w:val="center"/>
        </w:tcPr>
        <w:p w14:paraId="1050339D" w14:textId="5D260C38" w:rsidR="0021431B" w:rsidRPr="00241BE0" w:rsidRDefault="0021431B" w:rsidP="00391C98">
          <w:pPr>
            <w:spacing w:before="100" w:after="0" w:line="276" w:lineRule="auto"/>
            <w:ind w:left="-57" w:right="-57" w:firstLine="0"/>
            <w:jc w:val="left"/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</w:pPr>
          <w:r w:rsidRPr="00241BE0"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  <w:t>CÓDIGO: PHM-06-F-00</w:t>
          </w:r>
          <w:r w:rsidR="00011C29" w:rsidRPr="00241BE0"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  <w:t>2</w:t>
          </w:r>
          <w:r w:rsidRPr="00241BE0"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  <w:t xml:space="preserve"> </w:t>
          </w:r>
        </w:p>
      </w:tc>
    </w:tr>
    <w:tr w:rsidR="0021431B" w:rsidRPr="00391C98" w14:paraId="423927FC" w14:textId="77777777" w:rsidTr="00241BE0">
      <w:trPr>
        <w:trHeight w:val="257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67FAC1FA" w14:textId="77777777" w:rsidR="0021431B" w:rsidRPr="00391C98" w:rsidRDefault="0021431B" w:rsidP="00391C98">
          <w:pPr>
            <w:spacing w:after="0" w:line="276" w:lineRule="auto"/>
            <w:ind w:right="0" w:firstLine="0"/>
            <w:jc w:val="left"/>
            <w:rPr>
              <w:rFonts w:ascii="Calibri" w:eastAsia="Calibri" w:hAnsi="Calibri" w:cs="Times New Roman"/>
              <w:color w:val="auto"/>
              <w:sz w:val="22"/>
              <w:lang w:val="es-ES"/>
            </w:rPr>
          </w:pPr>
        </w:p>
      </w:tc>
      <w:tc>
        <w:tcPr>
          <w:tcW w:w="4961" w:type="dxa"/>
          <w:tcBorders>
            <w:top w:val="nil"/>
            <w:left w:val="single" w:sz="4" w:space="0" w:color="auto"/>
            <w:bottom w:val="single" w:sz="4" w:space="0" w:color="auto"/>
          </w:tcBorders>
        </w:tcPr>
        <w:p w14:paraId="19F088C9" w14:textId="6C018C73" w:rsidR="0021431B" w:rsidRPr="00241BE0" w:rsidRDefault="0021431B" w:rsidP="00011C29">
          <w:pPr>
            <w:spacing w:after="0" w:line="240" w:lineRule="auto"/>
            <w:ind w:right="0" w:firstLine="0"/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</w:pPr>
          <w:r w:rsidRPr="00241BE0">
            <w:rPr>
              <w:rFonts w:ascii="Arial" w:eastAsia="Calibri" w:hAnsi="Arial" w:cs="Arial"/>
              <w:b/>
              <w:color w:val="auto"/>
              <w:sz w:val="18"/>
              <w:szCs w:val="18"/>
            </w:rPr>
            <w:t>INFORME TÉCNICO</w:t>
          </w:r>
        </w:p>
      </w:tc>
      <w:tc>
        <w:tcPr>
          <w:tcW w:w="2410" w:type="dxa"/>
          <w:vMerge/>
          <w:vAlign w:val="center"/>
        </w:tcPr>
        <w:p w14:paraId="3BBC4F40" w14:textId="77777777" w:rsidR="0021431B" w:rsidRPr="00391C98" w:rsidRDefault="0021431B" w:rsidP="00391C98">
          <w:pPr>
            <w:spacing w:after="0" w:line="276" w:lineRule="auto"/>
            <w:ind w:right="0" w:firstLine="0"/>
            <w:jc w:val="left"/>
            <w:rPr>
              <w:rFonts w:ascii="Arial" w:eastAsia="Calibri" w:hAnsi="Arial" w:cs="Arial"/>
              <w:b/>
              <w:color w:val="auto"/>
              <w:sz w:val="16"/>
              <w:szCs w:val="16"/>
              <w:lang w:val="es-ES"/>
            </w:rPr>
          </w:pPr>
        </w:p>
      </w:tc>
    </w:tr>
    <w:tr w:rsidR="0021431B" w:rsidRPr="00391C98" w14:paraId="3D8BC5AA" w14:textId="77777777" w:rsidTr="00241BE0">
      <w:trPr>
        <w:trHeight w:val="141"/>
        <w:jc w:val="center"/>
      </w:trPr>
      <w:tc>
        <w:tcPr>
          <w:tcW w:w="1271" w:type="dxa"/>
          <w:vMerge/>
        </w:tcPr>
        <w:p w14:paraId="25BFD14E" w14:textId="77777777" w:rsidR="0021431B" w:rsidRPr="00391C98" w:rsidRDefault="0021431B" w:rsidP="00391C98">
          <w:pPr>
            <w:spacing w:after="0" w:line="276" w:lineRule="auto"/>
            <w:ind w:right="0" w:firstLine="0"/>
            <w:jc w:val="left"/>
            <w:rPr>
              <w:rFonts w:ascii="Calibri" w:eastAsia="Calibri" w:hAnsi="Calibri" w:cs="Times New Roman"/>
              <w:color w:val="auto"/>
              <w:sz w:val="22"/>
              <w:lang w:val="es-ES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</w:tcBorders>
          <w:vAlign w:val="center"/>
        </w:tcPr>
        <w:p w14:paraId="4ACD603F" w14:textId="77777777" w:rsidR="0021431B" w:rsidRPr="00241BE0" w:rsidRDefault="0021431B" w:rsidP="00391C98">
          <w:pPr>
            <w:spacing w:after="0" w:line="276" w:lineRule="auto"/>
            <w:ind w:right="0" w:firstLine="0"/>
            <w:jc w:val="left"/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</w:pPr>
          <w:r w:rsidRPr="00241BE0"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  <w:t>PROCEDIMIENTO:  MOVILIDAD INTERNA DOCENTE</w:t>
          </w:r>
        </w:p>
      </w:tc>
      <w:tc>
        <w:tcPr>
          <w:tcW w:w="2410" w:type="dxa"/>
          <w:vAlign w:val="center"/>
        </w:tcPr>
        <w:p w14:paraId="43F23298" w14:textId="77777777" w:rsidR="0021431B" w:rsidRPr="00241BE0" w:rsidRDefault="0021431B" w:rsidP="00241BE0">
          <w:pPr>
            <w:spacing w:after="0" w:line="276" w:lineRule="auto"/>
            <w:ind w:right="0" w:firstLine="0"/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</w:pPr>
          <w:r w:rsidRPr="00241BE0">
            <w:rPr>
              <w:rFonts w:ascii="Arial" w:eastAsia="Calibri" w:hAnsi="Arial" w:cs="Arial"/>
              <w:b/>
              <w:color w:val="auto"/>
              <w:sz w:val="18"/>
              <w:szCs w:val="18"/>
              <w:lang w:val="es-ES"/>
            </w:rPr>
            <w:t>REVISIÓN:   1</w:t>
          </w:r>
        </w:p>
      </w:tc>
    </w:tr>
    <w:tr w:rsidR="0021431B" w:rsidRPr="00391C98" w14:paraId="124B8C61" w14:textId="77777777" w:rsidTr="00241BE0">
      <w:trPr>
        <w:trHeight w:val="283"/>
        <w:jc w:val="center"/>
      </w:trPr>
      <w:tc>
        <w:tcPr>
          <w:tcW w:w="1271" w:type="dxa"/>
          <w:vMerge/>
        </w:tcPr>
        <w:p w14:paraId="362AD96F" w14:textId="77777777" w:rsidR="0021431B" w:rsidRPr="00391C98" w:rsidRDefault="0021431B" w:rsidP="00391C98">
          <w:pPr>
            <w:spacing w:after="0" w:line="276" w:lineRule="auto"/>
            <w:ind w:right="0" w:firstLine="0"/>
            <w:jc w:val="left"/>
            <w:rPr>
              <w:rFonts w:ascii="Calibri" w:eastAsia="Calibri" w:hAnsi="Calibri" w:cs="Times New Roman"/>
              <w:color w:val="auto"/>
              <w:sz w:val="22"/>
              <w:lang w:val="es-ES"/>
            </w:rPr>
          </w:pPr>
        </w:p>
      </w:tc>
      <w:tc>
        <w:tcPr>
          <w:tcW w:w="4961" w:type="dxa"/>
          <w:vMerge/>
        </w:tcPr>
        <w:p w14:paraId="24E44687" w14:textId="77777777" w:rsidR="0021431B" w:rsidRPr="00241BE0" w:rsidRDefault="0021431B" w:rsidP="00391C98">
          <w:pPr>
            <w:spacing w:after="0" w:line="276" w:lineRule="auto"/>
            <w:ind w:right="0" w:firstLine="0"/>
            <w:jc w:val="left"/>
            <w:rPr>
              <w:rFonts w:ascii="Arial" w:eastAsia="Calibri" w:hAnsi="Arial" w:cs="Arial"/>
              <w:color w:val="auto"/>
              <w:sz w:val="18"/>
              <w:szCs w:val="18"/>
              <w:lang w:val="es-ES"/>
            </w:rPr>
          </w:pPr>
        </w:p>
      </w:tc>
      <w:tc>
        <w:tcPr>
          <w:tcW w:w="2410" w:type="dxa"/>
          <w:vAlign w:val="center"/>
        </w:tcPr>
        <w:sdt>
          <w:sdtPr>
            <w:rPr>
              <w:rFonts w:ascii="Arial" w:eastAsia="Calibri" w:hAnsi="Arial" w:cs="Arial"/>
              <w:color w:val="auto"/>
              <w:sz w:val="18"/>
              <w:szCs w:val="18"/>
              <w:lang w:val="es-ES"/>
            </w:rPr>
            <w:id w:val="-1784422026"/>
            <w:docPartObj>
              <w:docPartGallery w:val="Page Numbers (Top of Page)"/>
              <w:docPartUnique/>
            </w:docPartObj>
          </w:sdtPr>
          <w:sdtContent>
            <w:p w14:paraId="64725C4B" w14:textId="77777777" w:rsidR="0021431B" w:rsidRPr="00241BE0" w:rsidRDefault="0021431B" w:rsidP="00241BE0">
              <w:pPr>
                <w:spacing w:after="0" w:line="276" w:lineRule="auto"/>
                <w:ind w:right="0" w:firstLine="0"/>
                <w:jc w:val="center"/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</w:pP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t xml:space="preserve">Página </w:t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fldChar w:fldCharType="begin"/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instrText xml:space="preserve"> PAGE </w:instrText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fldChar w:fldCharType="separate"/>
              </w:r>
              <w:r w:rsidR="000A4CFE" w:rsidRPr="00241BE0">
                <w:rPr>
                  <w:rFonts w:ascii="Arial" w:eastAsia="Calibri" w:hAnsi="Arial" w:cs="Arial"/>
                  <w:noProof/>
                  <w:color w:val="auto"/>
                  <w:sz w:val="18"/>
                  <w:szCs w:val="18"/>
                  <w:lang w:val="es-ES"/>
                </w:rPr>
                <w:t>3</w:t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fldChar w:fldCharType="end"/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t xml:space="preserve"> de </w:t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fldChar w:fldCharType="begin"/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instrText xml:space="preserve"> NUMPAGES  </w:instrText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fldChar w:fldCharType="separate"/>
              </w:r>
              <w:r w:rsidR="000A4CFE" w:rsidRPr="00241BE0">
                <w:rPr>
                  <w:rFonts w:ascii="Arial" w:eastAsia="Calibri" w:hAnsi="Arial" w:cs="Arial"/>
                  <w:noProof/>
                  <w:color w:val="auto"/>
                  <w:sz w:val="18"/>
                  <w:szCs w:val="18"/>
                  <w:lang w:val="es-ES"/>
                </w:rPr>
                <w:t>3</w:t>
              </w:r>
              <w:r w:rsidRPr="00241BE0">
                <w:rPr>
                  <w:rFonts w:ascii="Arial" w:eastAsia="Calibri" w:hAnsi="Arial" w:cs="Arial"/>
                  <w:color w:val="auto"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775524A0" w14:textId="77777777" w:rsidR="0021431B" w:rsidRDefault="002143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541"/>
    <w:multiLevelType w:val="hybridMultilevel"/>
    <w:tmpl w:val="9FC8647E"/>
    <w:lvl w:ilvl="0" w:tplc="0412A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3D5A"/>
    <w:multiLevelType w:val="hybridMultilevel"/>
    <w:tmpl w:val="AE300B8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1316"/>
    <w:multiLevelType w:val="hybridMultilevel"/>
    <w:tmpl w:val="7658781E"/>
    <w:lvl w:ilvl="0" w:tplc="30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C890A45"/>
    <w:multiLevelType w:val="multilevel"/>
    <w:tmpl w:val="DEE0D6B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4" w15:restartNumberingAfterBreak="0">
    <w:nsid w:val="6D70428A"/>
    <w:multiLevelType w:val="hybridMultilevel"/>
    <w:tmpl w:val="F260F9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3690">
    <w:abstractNumId w:val="1"/>
  </w:num>
  <w:num w:numId="2" w16cid:durableId="2073312542">
    <w:abstractNumId w:val="0"/>
  </w:num>
  <w:num w:numId="3" w16cid:durableId="2137600824">
    <w:abstractNumId w:val="3"/>
  </w:num>
  <w:num w:numId="4" w16cid:durableId="585841159">
    <w:abstractNumId w:val="2"/>
  </w:num>
  <w:num w:numId="5" w16cid:durableId="195336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E0"/>
    <w:rsid w:val="00011C29"/>
    <w:rsid w:val="0003089C"/>
    <w:rsid w:val="000A2FC6"/>
    <w:rsid w:val="000A4CFE"/>
    <w:rsid w:val="000F4D01"/>
    <w:rsid w:val="00122D29"/>
    <w:rsid w:val="001530B1"/>
    <w:rsid w:val="00180767"/>
    <w:rsid w:val="001965F7"/>
    <w:rsid w:val="001C63D4"/>
    <w:rsid w:val="001D222B"/>
    <w:rsid w:val="001E0B4E"/>
    <w:rsid w:val="0021431B"/>
    <w:rsid w:val="00241BE0"/>
    <w:rsid w:val="00247691"/>
    <w:rsid w:val="002827F9"/>
    <w:rsid w:val="0029160D"/>
    <w:rsid w:val="00295000"/>
    <w:rsid w:val="002A6918"/>
    <w:rsid w:val="002E2371"/>
    <w:rsid w:val="00312DD0"/>
    <w:rsid w:val="00312F55"/>
    <w:rsid w:val="0038398F"/>
    <w:rsid w:val="003862B8"/>
    <w:rsid w:val="00391C98"/>
    <w:rsid w:val="003B5B79"/>
    <w:rsid w:val="00410EF3"/>
    <w:rsid w:val="0042082C"/>
    <w:rsid w:val="0045321E"/>
    <w:rsid w:val="004A3944"/>
    <w:rsid w:val="004B53CC"/>
    <w:rsid w:val="004F509B"/>
    <w:rsid w:val="00501534"/>
    <w:rsid w:val="00516D67"/>
    <w:rsid w:val="00516FD5"/>
    <w:rsid w:val="00533DDC"/>
    <w:rsid w:val="00536BD4"/>
    <w:rsid w:val="00563DDD"/>
    <w:rsid w:val="005B10BF"/>
    <w:rsid w:val="005B5A24"/>
    <w:rsid w:val="005F3658"/>
    <w:rsid w:val="0062565E"/>
    <w:rsid w:val="00645FD1"/>
    <w:rsid w:val="00656BC5"/>
    <w:rsid w:val="00673D17"/>
    <w:rsid w:val="00686FBC"/>
    <w:rsid w:val="006A0E6C"/>
    <w:rsid w:val="006B24E4"/>
    <w:rsid w:val="006D0C9D"/>
    <w:rsid w:val="006D1365"/>
    <w:rsid w:val="006D623B"/>
    <w:rsid w:val="00740D21"/>
    <w:rsid w:val="00795192"/>
    <w:rsid w:val="007A7599"/>
    <w:rsid w:val="007D60BE"/>
    <w:rsid w:val="00805BB3"/>
    <w:rsid w:val="00832CDA"/>
    <w:rsid w:val="008404B4"/>
    <w:rsid w:val="0086679E"/>
    <w:rsid w:val="00875A39"/>
    <w:rsid w:val="008916A4"/>
    <w:rsid w:val="008A790E"/>
    <w:rsid w:val="008C3BE0"/>
    <w:rsid w:val="008F1278"/>
    <w:rsid w:val="00926900"/>
    <w:rsid w:val="00937EAA"/>
    <w:rsid w:val="00954F7F"/>
    <w:rsid w:val="00994804"/>
    <w:rsid w:val="00A018D0"/>
    <w:rsid w:val="00A24B72"/>
    <w:rsid w:val="00A322D7"/>
    <w:rsid w:val="00A4320A"/>
    <w:rsid w:val="00AA4426"/>
    <w:rsid w:val="00AA78ED"/>
    <w:rsid w:val="00AB44A9"/>
    <w:rsid w:val="00AD7C6C"/>
    <w:rsid w:val="00AF33C5"/>
    <w:rsid w:val="00AF667A"/>
    <w:rsid w:val="00B0671F"/>
    <w:rsid w:val="00B13D26"/>
    <w:rsid w:val="00B2278D"/>
    <w:rsid w:val="00BD2F9E"/>
    <w:rsid w:val="00BE3352"/>
    <w:rsid w:val="00C2036A"/>
    <w:rsid w:val="00C22BBD"/>
    <w:rsid w:val="00C64BAC"/>
    <w:rsid w:val="00C818C2"/>
    <w:rsid w:val="00CB4F43"/>
    <w:rsid w:val="00CC0383"/>
    <w:rsid w:val="00CD3034"/>
    <w:rsid w:val="00CD5093"/>
    <w:rsid w:val="00CE0322"/>
    <w:rsid w:val="00CE345E"/>
    <w:rsid w:val="00D150C1"/>
    <w:rsid w:val="00D2331E"/>
    <w:rsid w:val="00D4440C"/>
    <w:rsid w:val="00D5252E"/>
    <w:rsid w:val="00D604EC"/>
    <w:rsid w:val="00D818FB"/>
    <w:rsid w:val="00DA5108"/>
    <w:rsid w:val="00DB2B20"/>
    <w:rsid w:val="00DB7FAF"/>
    <w:rsid w:val="00DE4047"/>
    <w:rsid w:val="00DF270E"/>
    <w:rsid w:val="00E261A5"/>
    <w:rsid w:val="00E26C57"/>
    <w:rsid w:val="00E4351A"/>
    <w:rsid w:val="00E443D0"/>
    <w:rsid w:val="00E4573C"/>
    <w:rsid w:val="00E62260"/>
    <w:rsid w:val="00E75DB2"/>
    <w:rsid w:val="00EB08FA"/>
    <w:rsid w:val="00EB38CD"/>
    <w:rsid w:val="00EB7E22"/>
    <w:rsid w:val="00EC4D29"/>
    <w:rsid w:val="00F04E9C"/>
    <w:rsid w:val="00F32247"/>
    <w:rsid w:val="00F32D15"/>
    <w:rsid w:val="00F526C5"/>
    <w:rsid w:val="00F5430D"/>
    <w:rsid w:val="00F61206"/>
    <w:rsid w:val="00F904CD"/>
    <w:rsid w:val="00FA1CD6"/>
    <w:rsid w:val="00FA5F33"/>
    <w:rsid w:val="00FD0F3D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D2E1"/>
  <w15:docId w15:val="{87EF05BC-89E8-43EC-8136-E59D773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50" w:lineRule="auto"/>
      <w:ind w:right="238" w:firstLine="606"/>
      <w:jc w:val="both"/>
    </w:pPr>
    <w:rPr>
      <w:rFonts w:ascii="Franklin Gothic Book" w:eastAsia="Franklin Gothic Book" w:hAnsi="Franklin Gothic Book" w:cs="Franklin Gothic Book"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1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C98"/>
    <w:rPr>
      <w:rFonts w:ascii="Franklin Gothic Book" w:eastAsia="Franklin Gothic Book" w:hAnsi="Franklin Gothic Book" w:cs="Franklin Gothic Book"/>
      <w:color w:val="000000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391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C98"/>
    <w:rPr>
      <w:rFonts w:ascii="Franklin Gothic Book" w:eastAsia="Franklin Gothic Book" w:hAnsi="Franklin Gothic Book" w:cs="Franklin Gothic Book"/>
      <w:color w:val="000000"/>
      <w:sz w:val="19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91C9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9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Párrafo de Viñeta,Texto,List Paragraph1,Capítulo,Titulo parrafo,List Paragraph,Título 2.,tEXTO,Titulo 1,Lista vistosa - Énfasis 11"/>
    <w:basedOn w:val="Normal"/>
    <w:link w:val="PrrafodelistaCar"/>
    <w:uiPriority w:val="34"/>
    <w:qFormat/>
    <w:rsid w:val="00686F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D17"/>
    <w:rPr>
      <w:rFonts w:ascii="Segoe UI" w:eastAsia="Franklin Gothic Book" w:hAnsi="Segoe UI" w:cs="Segoe UI"/>
      <w:color w:val="000000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2278D"/>
    <w:pPr>
      <w:spacing w:beforeAutospacing="1" w:after="0" w:line="240" w:lineRule="auto"/>
      <w:jc w:val="center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E2371"/>
    <w:pPr>
      <w:spacing w:beforeAutospacing="1" w:after="0" w:line="240" w:lineRule="auto"/>
      <w:jc w:val="center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,Párrafo de Viñeta Car,Texto Car,List Paragraph1 Car,Capítulo Car,Titulo parrafo Car,List Paragraph Car,Título 2. Car,tEXTO Car,Titulo 1 Car,Lista vistosa - Énfasis 11 Car"/>
    <w:basedOn w:val="Fuentedeprrafopredeter"/>
    <w:link w:val="Prrafodelista"/>
    <w:uiPriority w:val="34"/>
    <w:rsid w:val="00A4320A"/>
    <w:rPr>
      <w:rFonts w:ascii="Franklin Gothic Book" w:eastAsia="Franklin Gothic Book" w:hAnsi="Franklin Gothic Book" w:cs="Franklin Gothic Book"/>
      <w:color w:val="000000"/>
      <w:sz w:val="19"/>
    </w:rPr>
  </w:style>
  <w:style w:type="character" w:customStyle="1" w:styleId="nrmar">
    <w:name w:val="nrmar"/>
    <w:basedOn w:val="Fuentedeprrafopredeter"/>
    <w:rsid w:val="003862B8"/>
  </w:style>
  <w:style w:type="character" w:customStyle="1" w:styleId="hit">
    <w:name w:val="hit"/>
    <w:basedOn w:val="Fuentedeprrafopredeter"/>
    <w:rsid w:val="00180767"/>
  </w:style>
  <w:style w:type="character" w:styleId="Hipervnculo">
    <w:name w:val="Hyperlink"/>
    <w:basedOn w:val="Fuentedeprrafopredeter"/>
    <w:uiPriority w:val="99"/>
    <w:unhideWhenUsed/>
    <w:rsid w:val="00CD50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E859798B-8B83-4951-BDBB-50CF67ED0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B8E15-CA97-4A63-A96A-77C4A9F4E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53D5-ED9E-4310-9A85-E9073F4B19C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1350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Beatriz Briones Arteaga</dc:creator>
  <cp:keywords/>
  <cp:lastModifiedBy>ZAMBRANO ZAMBRANO LUIGI ANTONIO</cp:lastModifiedBy>
  <cp:revision>75</cp:revision>
  <cp:lastPrinted>2018-04-24T17:00:00Z</cp:lastPrinted>
  <dcterms:created xsi:type="dcterms:W3CDTF">2022-08-23T13:50:00Z</dcterms:created>
  <dcterms:modified xsi:type="dcterms:W3CDTF">2023-02-24T19:51:00Z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